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25" w:rsidRDefault="00945925">
      <w:pPr>
        <w:rPr>
          <w:b/>
        </w:rPr>
      </w:pPr>
    </w:p>
    <w:p w:rsidR="003E6A45" w:rsidRDefault="00BE189C">
      <w:pPr>
        <w:rPr>
          <w:b/>
        </w:rPr>
      </w:pPr>
      <w:r>
        <w:rPr>
          <w:b/>
        </w:rPr>
        <w:t>Pension Fund Committee</w:t>
      </w:r>
    </w:p>
    <w:p w:rsidR="003E6A45" w:rsidRDefault="003E6A45">
      <w:r>
        <w:t xml:space="preserve">Meeting to be held on </w:t>
      </w:r>
      <w:r w:rsidR="004C3B78">
        <w:t xml:space="preserve">22 March </w:t>
      </w:r>
      <w:r w:rsidR="00DE2FD1">
        <w:t>201</w:t>
      </w:r>
      <w:r w:rsidR="004C3B78">
        <w:t>3</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c>
          <w:tcPr>
            <w:tcW w:w="3260" w:type="dxa"/>
          </w:tcPr>
          <w:p w:rsidR="003E6A45" w:rsidRDefault="003E6A45">
            <w:pPr>
              <w:pStyle w:val="BodyText"/>
            </w:pPr>
            <w:r>
              <w:t>Electoral Division affected:</w:t>
            </w:r>
          </w:p>
          <w:p w:rsidR="003E6A45" w:rsidRDefault="00BE189C">
            <w:pPr>
              <w:rPr>
                <w:u w:val="single"/>
              </w:rPr>
            </w:pPr>
            <w:r>
              <w:t>'All'</w:t>
            </w:r>
          </w:p>
        </w:tc>
      </w:tr>
    </w:tbl>
    <w:p w:rsidR="003E6A45" w:rsidRDefault="003E6A45">
      <w:pPr>
        <w:rPr>
          <w:u w:val="single"/>
        </w:rPr>
      </w:pPr>
    </w:p>
    <w:p w:rsidR="003E6A45" w:rsidRDefault="004F2CD8">
      <w:pPr>
        <w:rPr>
          <w:b/>
        </w:rPr>
      </w:pPr>
      <w:r>
        <w:rPr>
          <w:b/>
        </w:rPr>
        <w:t xml:space="preserve">Fund Shareholder Voting </w:t>
      </w:r>
      <w:r w:rsidR="00EB067F">
        <w:rPr>
          <w:b/>
        </w:rPr>
        <w:t xml:space="preserve">and Engagement </w:t>
      </w:r>
      <w:r>
        <w:rPr>
          <w:b/>
        </w:rPr>
        <w:t>Report</w:t>
      </w:r>
    </w:p>
    <w:p w:rsidR="008A5E88" w:rsidRDefault="00BE189C" w:rsidP="00BE189C">
      <w:pPr>
        <w:ind w:left="709" w:hanging="709"/>
      </w:pPr>
      <w:r>
        <w:t>(Appendi</w:t>
      </w:r>
      <w:r w:rsidR="00B80294">
        <w:t>ces</w:t>
      </w:r>
      <w:r>
        <w:t xml:space="preserve"> </w:t>
      </w:r>
      <w:r w:rsidR="00B80294">
        <w:t>'</w:t>
      </w:r>
      <w:r>
        <w:t>A</w:t>
      </w:r>
      <w:r w:rsidR="00B80294">
        <w:t>'</w:t>
      </w:r>
      <w:r w:rsidR="00F73415">
        <w:t xml:space="preserve"> </w:t>
      </w:r>
      <w:r w:rsidR="00B80294">
        <w:t xml:space="preserve">and 'B' </w:t>
      </w:r>
      <w:r>
        <w:t>refer)</w:t>
      </w:r>
    </w:p>
    <w:p w:rsidR="003E6A45" w:rsidRDefault="003E6A45"/>
    <w:p w:rsidR="003E6A45" w:rsidRDefault="003E6A45" w:rsidP="0016285E">
      <w:pPr>
        <w:tabs>
          <w:tab w:val="center" w:pos="4513"/>
        </w:tabs>
      </w:pPr>
      <w:r>
        <w:t>Contact for further information:</w:t>
      </w:r>
      <w:r w:rsidR="0016285E">
        <w:tab/>
      </w:r>
    </w:p>
    <w:p w:rsidR="003E6A45" w:rsidRDefault="003103B6">
      <w:r>
        <w:t>Gill Kilpatrick</w:t>
      </w:r>
      <w:r w:rsidR="003E6A45">
        <w:t xml:space="preserve">, </w:t>
      </w:r>
      <w:r w:rsidR="00BE189C">
        <w:t xml:space="preserve">(01772) </w:t>
      </w:r>
      <w:r>
        <w:t>534715</w:t>
      </w:r>
      <w:r w:rsidR="003E6A45">
        <w:t xml:space="preserve">, </w:t>
      </w:r>
      <w:r w:rsidR="00BE189C">
        <w:t>County Treasurer</w:t>
      </w:r>
      <w:r w:rsidR="00F134C5">
        <w:t>'</w:t>
      </w:r>
      <w:r w:rsidR="00BE189C">
        <w:t>s D</w:t>
      </w:r>
      <w:r w:rsidR="00F134C5">
        <w:t>irectorate</w:t>
      </w:r>
      <w:r w:rsidR="00772BBA">
        <w:t xml:space="preserve">, </w:t>
      </w:r>
    </w:p>
    <w:p w:rsidR="00772BBA" w:rsidRDefault="00736C5D">
      <w:hyperlink r:id="rId8" w:history="1">
        <w:r w:rsidRPr="00EF03D1">
          <w:rPr>
            <w:rStyle w:val="Hyperlink"/>
          </w:rPr>
          <w:t>Gill.kilpatrick@lancashire.gov.uk</w:t>
        </w:r>
      </w:hyperlink>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3E6A45" w:rsidRDefault="003E6A45"/>
          <w:p w:rsidR="00DB147E" w:rsidRDefault="00DB147E" w:rsidP="00DB2EDD">
            <w:r>
              <w:t>In accordance with its policies on promoting corporate social responsibility in the businesses in which it invest the Fund works through PIRC as its Governance Adviser and the Local Authority Pension Fund Forum (LAPFF) to both ensure that shares are voted in accordance with sound governance principles and influence companies' behaviour.</w:t>
            </w:r>
          </w:p>
          <w:p w:rsidR="00DB147E" w:rsidRDefault="00DB147E" w:rsidP="00DB2EDD"/>
          <w:p w:rsidR="006E5686" w:rsidRDefault="00DB147E" w:rsidP="00DB2EDD">
            <w:r>
              <w:t>This report provides the latest quarterly update for the Committee on the work undertaken on the Fund's behalf by PIRC and the engagement activity undertaken by LAPFF.</w:t>
            </w:r>
            <w:r w:rsidR="00C85D7C">
              <w:t xml:space="preserve"> </w:t>
            </w:r>
          </w:p>
          <w:p w:rsidR="006E5686" w:rsidRDefault="006E5686" w:rsidP="00DB2EDD"/>
          <w:p w:rsidR="00EB067F" w:rsidRDefault="006E5686" w:rsidP="00DB2EDD">
            <w:r>
              <w:t>The attached report</w:t>
            </w:r>
            <w:r w:rsidR="00C9157B">
              <w:t xml:space="preserve"> </w:t>
            </w:r>
            <w:r w:rsidR="00B80294">
              <w:t xml:space="preserve">from </w:t>
            </w:r>
            <w:proofErr w:type="spellStart"/>
            <w:r w:rsidR="00B80294">
              <w:t>PIRC</w:t>
            </w:r>
            <w:proofErr w:type="spellEnd"/>
            <w:r w:rsidR="00B80294">
              <w:t xml:space="preserve"> </w:t>
            </w:r>
            <w:r>
              <w:t>(Appendi</w:t>
            </w:r>
            <w:r w:rsidR="00C9157B">
              <w:t>x</w:t>
            </w:r>
            <w:r w:rsidR="00FA34CE">
              <w:t xml:space="preserve"> </w:t>
            </w:r>
            <w:r w:rsidR="00736C5D">
              <w:t>'</w:t>
            </w:r>
            <w:r w:rsidR="00FA34CE">
              <w:t>A</w:t>
            </w:r>
            <w:r w:rsidR="00736C5D">
              <w:t>'</w:t>
            </w:r>
            <w:r w:rsidR="00C9157B">
              <w:t>)</w:t>
            </w:r>
            <w:r>
              <w:t xml:space="preserve"> cover</w:t>
            </w:r>
            <w:r w:rsidR="00C9157B">
              <w:t>s</w:t>
            </w:r>
            <w:r>
              <w:t xml:space="preserve"> the period </w:t>
            </w:r>
            <w:r w:rsidR="000A44A3">
              <w:t>1</w:t>
            </w:r>
            <w:r w:rsidR="004C3B78">
              <w:t xml:space="preserve"> October </w:t>
            </w:r>
            <w:r w:rsidR="000A44A3">
              <w:t>to 3</w:t>
            </w:r>
            <w:r w:rsidR="004C3B78">
              <w:t>1</w:t>
            </w:r>
            <w:r w:rsidR="000A44A3">
              <w:t xml:space="preserve"> </w:t>
            </w:r>
            <w:r w:rsidR="004C3B78">
              <w:t>December</w:t>
            </w:r>
            <w:r w:rsidR="00C9157B">
              <w:t xml:space="preserve"> 2012</w:t>
            </w:r>
            <w:r w:rsidRPr="004003F7">
              <w:t xml:space="preserve">.  The Fund has voted on </w:t>
            </w:r>
            <w:r w:rsidR="00DB45D8" w:rsidRPr="004003F7">
              <w:t>1</w:t>
            </w:r>
            <w:r w:rsidR="004003F7" w:rsidRPr="004003F7">
              <w:t>93</w:t>
            </w:r>
            <w:r w:rsidRPr="004003F7">
              <w:t xml:space="preserve"> occasions and has opposed or abstained in </w:t>
            </w:r>
            <w:r w:rsidR="0095583F" w:rsidRPr="004003F7">
              <w:t>3</w:t>
            </w:r>
            <w:r w:rsidR="004003F7" w:rsidRPr="004003F7">
              <w:t>8</w:t>
            </w:r>
            <w:r w:rsidRPr="004003F7">
              <w:t>% of votes.  PIRC</w:t>
            </w:r>
            <w:r>
              <w:t xml:space="preserve"> recommends not supporting resolutions where it does not believe best governance practice is being applied</w:t>
            </w:r>
            <w:r w:rsidR="007C7EE2">
              <w:t>.  PIRC’s focus has been on promoting independent representation on company boards, separating the roles of CEO and Chairman and ensuring remuneration proposals are aligned with shareholders’ interests.</w:t>
            </w:r>
          </w:p>
          <w:p w:rsidR="00EB067F" w:rsidRDefault="00EB067F" w:rsidP="00DB2EDD"/>
          <w:p w:rsidR="00B80294" w:rsidRDefault="00EB067F" w:rsidP="00DB2EDD">
            <w:r>
              <w:t xml:space="preserve">The attached engagement report from </w:t>
            </w:r>
            <w:proofErr w:type="spellStart"/>
            <w:r>
              <w:t>LAPFF</w:t>
            </w:r>
            <w:proofErr w:type="spellEnd"/>
            <w:r>
              <w:t xml:space="preserve"> (Appendix </w:t>
            </w:r>
            <w:r w:rsidR="00736C5D">
              <w:t>'</w:t>
            </w:r>
            <w:r>
              <w:t>B</w:t>
            </w:r>
            <w:r w:rsidR="00736C5D">
              <w:t>'</w:t>
            </w:r>
            <w:r>
              <w:t xml:space="preserve">) also covers the period 1 October to 31 December 2012. </w:t>
            </w:r>
          </w:p>
          <w:p w:rsidR="0098084A" w:rsidRDefault="0098084A" w:rsidP="00DB2EDD"/>
          <w:p w:rsidR="003E6A45" w:rsidRDefault="003E6A45">
            <w:pPr>
              <w:pStyle w:val="Heading5"/>
              <w:rPr>
                <w:rFonts w:ascii="Arial" w:hAnsi="Arial"/>
                <w:u w:val="none"/>
              </w:rPr>
            </w:pPr>
            <w:r>
              <w:rPr>
                <w:rFonts w:ascii="Arial" w:hAnsi="Arial"/>
                <w:u w:val="none"/>
              </w:rPr>
              <w:t>Recommendation</w:t>
            </w:r>
          </w:p>
          <w:p w:rsidR="006E5686" w:rsidRPr="006E5686" w:rsidRDefault="006E5686" w:rsidP="006E5686"/>
          <w:p w:rsidR="003E6A45" w:rsidRDefault="00736C5D">
            <w:r>
              <w:t>T</w:t>
            </w:r>
            <w:r w:rsidR="006E5686">
              <w:t xml:space="preserve">he Committee </w:t>
            </w:r>
            <w:r>
              <w:t>is asked to note the report</w:t>
            </w:r>
            <w:r w:rsidR="00335582">
              <w:t>.</w:t>
            </w:r>
            <w:r w:rsidR="00335582" w:rsidDel="00335582">
              <w:t xml:space="preserve"> </w:t>
            </w:r>
          </w:p>
          <w:p w:rsidR="006E5686" w:rsidRDefault="006E5686"/>
          <w:p w:rsidR="003E6A45" w:rsidRDefault="003E6A45" w:rsidP="00C85D7C"/>
        </w:tc>
      </w:tr>
    </w:tbl>
    <w:p w:rsidR="00F134C5" w:rsidRDefault="00F134C5">
      <w:pPr>
        <w:pStyle w:val="Header"/>
      </w:pPr>
    </w:p>
    <w:p w:rsidR="00F134C5" w:rsidRDefault="00F134C5">
      <w:r>
        <w:br w:type="page"/>
      </w:r>
    </w:p>
    <w:p w:rsidR="003E6A45" w:rsidRDefault="003E6A45">
      <w:pPr>
        <w:pStyle w:val="Header"/>
      </w:pPr>
    </w:p>
    <w:p w:rsidR="00772BBA" w:rsidRDefault="00772BBA" w:rsidP="00772BBA">
      <w:pPr>
        <w:rPr>
          <w:b/>
        </w:rPr>
      </w:pPr>
      <w:r>
        <w:rPr>
          <w:b/>
        </w:rPr>
        <w:t xml:space="preserve">Background and Advice </w:t>
      </w:r>
    </w:p>
    <w:p w:rsidR="00BE189C" w:rsidRDefault="00BE189C" w:rsidP="00772BBA">
      <w:pPr>
        <w:rPr>
          <w:b/>
        </w:rPr>
      </w:pPr>
    </w:p>
    <w:p w:rsidR="00EB067F" w:rsidRPr="00EB067F" w:rsidRDefault="00DB147E">
      <w:pPr>
        <w:pStyle w:val="Heading1"/>
        <w:rPr>
          <w:bCs/>
        </w:rPr>
      </w:pPr>
      <w:r>
        <w:rPr>
          <w:bCs/>
        </w:rPr>
        <w:t>Shareholder Vo</w:t>
      </w:r>
      <w:r w:rsidR="00F134C5">
        <w:rPr>
          <w:bCs/>
        </w:rPr>
        <w:t>t</w:t>
      </w:r>
      <w:r>
        <w:rPr>
          <w:bCs/>
        </w:rPr>
        <w:t>ing and Governance</w:t>
      </w:r>
    </w:p>
    <w:p w:rsidR="00EB067F" w:rsidRDefault="00EB067F">
      <w:pPr>
        <w:pStyle w:val="Heading1"/>
        <w:rPr>
          <w:b w:val="0"/>
          <w:bCs/>
        </w:rPr>
      </w:pPr>
    </w:p>
    <w:p w:rsidR="00C34000" w:rsidRDefault="007F5938">
      <w:pPr>
        <w:pStyle w:val="Heading1"/>
        <w:rPr>
          <w:color w:val="000000"/>
          <w:sz w:val="17"/>
          <w:szCs w:val="17"/>
        </w:rPr>
      </w:pPr>
      <w:proofErr w:type="gramStart"/>
      <w:r>
        <w:rPr>
          <w:b w:val="0"/>
          <w:bCs/>
        </w:rPr>
        <w:t>PIRC</w:t>
      </w:r>
      <w:r w:rsidR="00C74ABC">
        <w:rPr>
          <w:b w:val="0"/>
          <w:bCs/>
        </w:rPr>
        <w:t>,</w:t>
      </w:r>
      <w:proofErr w:type="gramEnd"/>
      <w:r>
        <w:rPr>
          <w:b w:val="0"/>
          <w:bCs/>
        </w:rPr>
        <w:t xml:space="preserve"> </w:t>
      </w:r>
      <w:r w:rsidR="00C74ABC">
        <w:rPr>
          <w:b w:val="0"/>
          <w:bCs/>
        </w:rPr>
        <w:t>acts</w:t>
      </w:r>
      <w:r w:rsidR="00C85D7C">
        <w:rPr>
          <w:b w:val="0"/>
          <w:bCs/>
        </w:rPr>
        <w:t xml:space="preserve"> as the Fund's proxy and cast</w:t>
      </w:r>
      <w:r w:rsidR="00C74ABC">
        <w:rPr>
          <w:b w:val="0"/>
          <w:bCs/>
        </w:rPr>
        <w:t>s</w:t>
      </w:r>
      <w:r w:rsidR="00C85D7C">
        <w:rPr>
          <w:b w:val="0"/>
          <w:bCs/>
        </w:rPr>
        <w:t xml:space="preserve"> the Fund's votes </w:t>
      </w:r>
      <w:r w:rsidR="00C74ABC">
        <w:rPr>
          <w:b w:val="0"/>
          <w:bCs/>
        </w:rPr>
        <w:t xml:space="preserve">on its investments </w:t>
      </w:r>
      <w:r w:rsidR="00C85D7C">
        <w:rPr>
          <w:b w:val="0"/>
          <w:bCs/>
        </w:rPr>
        <w:t>at shareholder meetings</w:t>
      </w:r>
      <w:r w:rsidR="00C34000">
        <w:rPr>
          <w:b w:val="0"/>
          <w:bCs/>
        </w:rPr>
        <w:t xml:space="preserve">.  </w:t>
      </w:r>
      <w:r>
        <w:rPr>
          <w:b w:val="0"/>
          <w:bCs/>
        </w:rPr>
        <w:t>PIRC are instructed to vote in accordance with their guidelines unless the Fund instructs an exception</w:t>
      </w:r>
      <w:r w:rsidR="00C85D7C">
        <w:rPr>
          <w:b w:val="0"/>
          <w:bCs/>
        </w:rPr>
        <w:t>.</w:t>
      </w:r>
      <w:r w:rsidR="008E4C5A">
        <w:rPr>
          <w:b w:val="0"/>
          <w:bCs/>
        </w:rPr>
        <w:t xml:space="preserve">  PIRC analyses </w:t>
      </w:r>
      <w:r w:rsidR="008E4C5A" w:rsidRPr="008E4C5A">
        <w:rPr>
          <w:b w:val="0"/>
          <w:bCs/>
        </w:rPr>
        <w:t>investee companies</w:t>
      </w:r>
      <w:r w:rsidR="00C34000">
        <w:rPr>
          <w:b w:val="0"/>
          <w:bCs/>
        </w:rPr>
        <w:t xml:space="preserve"> </w:t>
      </w:r>
      <w:r w:rsidR="008E4C5A" w:rsidRPr="008E4C5A">
        <w:rPr>
          <w:b w:val="0"/>
          <w:bCs/>
        </w:rPr>
        <w:t xml:space="preserve">and produces </w:t>
      </w:r>
      <w:r w:rsidR="00C34000">
        <w:rPr>
          <w:b w:val="0"/>
          <w:bCs/>
        </w:rPr>
        <w:t xml:space="preserve">publically available </w:t>
      </w:r>
      <w:r w:rsidR="008E4C5A" w:rsidRPr="008E4C5A">
        <w:rPr>
          <w:b w:val="0"/>
          <w:bCs/>
        </w:rPr>
        <w:t>voting recommendations to encourage companies to adhere to high standards of governance and social responsibility</w:t>
      </w:r>
      <w:r w:rsidR="00C34000">
        <w:rPr>
          <w:b w:val="0"/>
          <w:bCs/>
        </w:rPr>
        <w:t>.</w:t>
      </w:r>
      <w:r w:rsidR="00261808">
        <w:rPr>
          <w:b w:val="0"/>
          <w:bCs/>
        </w:rPr>
        <w:t xml:space="preserve">  The analysis includes a review of the adequacy of environmental and employment policies and the disclosure of quantifiable environmental reporting.</w:t>
      </w:r>
      <w:r w:rsidR="00C34000">
        <w:rPr>
          <w:b w:val="0"/>
          <w:bCs/>
        </w:rPr>
        <w:t xml:space="preserve">  PIRC is also an active supporter of the Stewardship Code, a code of practice published by the Financial Reporting </w:t>
      </w:r>
      <w:r w:rsidR="003C658E">
        <w:rPr>
          <w:b w:val="0"/>
          <w:bCs/>
        </w:rPr>
        <w:t xml:space="preserve">Council </w:t>
      </w:r>
      <w:r w:rsidR="00C34000">
        <w:rPr>
          <w:b w:val="0"/>
          <w:bCs/>
        </w:rPr>
        <w:t xml:space="preserve">with the aim of </w:t>
      </w:r>
      <w:r w:rsidR="00C34000" w:rsidRPr="00C34000">
        <w:rPr>
          <w:b w:val="0"/>
          <w:bCs/>
        </w:rPr>
        <w:t xml:space="preserve">enhancing the quality of engagement between institutional investors and companies.  </w:t>
      </w:r>
    </w:p>
    <w:p w:rsidR="00C34000" w:rsidRDefault="00C34000">
      <w:pPr>
        <w:pStyle w:val="Heading1"/>
        <w:rPr>
          <w:color w:val="000000"/>
          <w:sz w:val="17"/>
          <w:szCs w:val="17"/>
        </w:rPr>
      </w:pPr>
    </w:p>
    <w:p w:rsidR="007F5938" w:rsidRDefault="003C658E">
      <w:pPr>
        <w:pStyle w:val="Heading1"/>
        <w:rPr>
          <w:b w:val="0"/>
          <w:bCs/>
        </w:rPr>
      </w:pPr>
      <w:r>
        <w:rPr>
          <w:b w:val="0"/>
          <w:bCs/>
        </w:rPr>
        <w:t xml:space="preserve">There may be occasions when the Fund wishes to cast a vote at a shareholder meeting in a way which does not accord with PIRC's recommendations.  For example, an investment manager might request the Fund to vote in a particular way to support or oppose a corporate action.  Such requests would be considered by the Fund on a case by case basis and PIRC instructed to cast the Fund's vote accordingly.  </w:t>
      </w:r>
    </w:p>
    <w:p w:rsidR="0077613C" w:rsidRDefault="0077613C" w:rsidP="0077613C"/>
    <w:p w:rsidR="006D64D0" w:rsidRDefault="0077613C" w:rsidP="0077613C">
      <w:r>
        <w:t xml:space="preserve">PIRC </w:t>
      </w:r>
      <w:r w:rsidR="00C74ABC">
        <w:t xml:space="preserve">also </w:t>
      </w:r>
      <w:r>
        <w:t xml:space="preserve">lobbies actively on behalf of its investing clients as well as providing them with detailed support.  It works closely with NAPF (the National Association of Pension Funds) and LAPFF (the forum of Local Authority Pension Funds). </w:t>
      </w:r>
    </w:p>
    <w:p w:rsidR="006D64D0" w:rsidRDefault="006D64D0" w:rsidP="0077613C"/>
    <w:p w:rsidR="00C04443" w:rsidRPr="00C04443" w:rsidRDefault="007F5938" w:rsidP="00C04443">
      <w:pPr>
        <w:pStyle w:val="Heading1"/>
        <w:rPr>
          <w:b w:val="0"/>
          <w:bCs/>
        </w:rPr>
      </w:pPr>
      <w:r w:rsidRPr="00C04443">
        <w:rPr>
          <w:b w:val="0"/>
          <w:bCs/>
        </w:rPr>
        <w:t>PIRC</w:t>
      </w:r>
      <w:r w:rsidR="006D64D0" w:rsidRPr="00C04443">
        <w:rPr>
          <w:b w:val="0"/>
          <w:bCs/>
        </w:rPr>
        <w:t>'s quarterly report to 3</w:t>
      </w:r>
      <w:r w:rsidR="004C3B78">
        <w:rPr>
          <w:b w:val="0"/>
          <w:bCs/>
        </w:rPr>
        <w:t xml:space="preserve">1 December 2012 </w:t>
      </w:r>
      <w:r w:rsidR="006D64D0" w:rsidRPr="00C04443">
        <w:rPr>
          <w:b w:val="0"/>
          <w:bCs/>
        </w:rPr>
        <w:t xml:space="preserve">is presented </w:t>
      </w:r>
      <w:r w:rsidR="00FA34CE">
        <w:rPr>
          <w:b w:val="0"/>
          <w:bCs/>
        </w:rPr>
        <w:t>at</w:t>
      </w:r>
      <w:r w:rsidR="00FA34CE" w:rsidRPr="00C04443">
        <w:rPr>
          <w:b w:val="0"/>
          <w:bCs/>
        </w:rPr>
        <w:t xml:space="preserve"> </w:t>
      </w:r>
      <w:r w:rsidR="006D64D0" w:rsidRPr="00C04443">
        <w:rPr>
          <w:b w:val="0"/>
          <w:bCs/>
        </w:rPr>
        <w:t>Appendix</w:t>
      </w:r>
      <w:r w:rsidR="00FA34CE">
        <w:rPr>
          <w:b w:val="0"/>
          <w:bCs/>
        </w:rPr>
        <w:t xml:space="preserve"> </w:t>
      </w:r>
      <w:r w:rsidR="00736C5D">
        <w:rPr>
          <w:b w:val="0"/>
          <w:bCs/>
        </w:rPr>
        <w:t>'</w:t>
      </w:r>
      <w:r w:rsidR="00FA34CE">
        <w:rPr>
          <w:b w:val="0"/>
          <w:bCs/>
        </w:rPr>
        <w:t>A</w:t>
      </w:r>
      <w:r w:rsidR="00736C5D">
        <w:rPr>
          <w:b w:val="0"/>
          <w:bCs/>
        </w:rPr>
        <w:t>'</w:t>
      </w:r>
      <w:r w:rsidR="006D64D0" w:rsidRPr="00C04443">
        <w:rPr>
          <w:b w:val="0"/>
          <w:bCs/>
        </w:rPr>
        <w:t xml:space="preserve">.  </w:t>
      </w:r>
      <w:r w:rsidR="00C14C4E">
        <w:rPr>
          <w:b w:val="0"/>
          <w:bCs/>
        </w:rPr>
        <w:t xml:space="preserve">This report not only provides details of the </w:t>
      </w:r>
      <w:r w:rsidR="00DB147E">
        <w:rPr>
          <w:b w:val="0"/>
          <w:bCs/>
        </w:rPr>
        <w:t>votes</w:t>
      </w:r>
      <w:r w:rsidR="00C14C4E">
        <w:rPr>
          <w:b w:val="0"/>
          <w:bCs/>
        </w:rPr>
        <w:t xml:space="preserve"> cast on behalf of the Fund but also provides a commentary on events during the period relevant to environmental and social governance issues.</w:t>
      </w:r>
    </w:p>
    <w:p w:rsidR="00C04443" w:rsidRDefault="00C04443" w:rsidP="00C04443">
      <w:pPr>
        <w:pStyle w:val="Heading1"/>
        <w:rPr>
          <w:bCs/>
        </w:rPr>
      </w:pPr>
    </w:p>
    <w:p w:rsidR="00C04443" w:rsidRDefault="00C14C4E" w:rsidP="00C04443">
      <w:pPr>
        <w:pStyle w:val="Heading1"/>
        <w:rPr>
          <w:b w:val="0"/>
          <w:bCs/>
        </w:rPr>
      </w:pPr>
      <w:r>
        <w:rPr>
          <w:b w:val="0"/>
          <w:bCs/>
        </w:rPr>
        <w:t xml:space="preserve">In addition </w:t>
      </w:r>
      <w:r w:rsidR="00C04443">
        <w:rPr>
          <w:b w:val="0"/>
          <w:bCs/>
        </w:rPr>
        <w:t>PIRC produces a detailed document which is reviewed by the Fund's officers, which sets out the circumstances and reasoning for every resolution opposed, abstained or withheld.  This document is available on request.</w:t>
      </w:r>
    </w:p>
    <w:p w:rsidR="00C14C4E" w:rsidRDefault="00C14C4E">
      <w:pPr>
        <w:pStyle w:val="Heading1"/>
        <w:rPr>
          <w:b w:val="0"/>
          <w:bCs/>
        </w:rPr>
      </w:pPr>
    </w:p>
    <w:p w:rsidR="00AD0AC0" w:rsidRDefault="006E5686">
      <w:pPr>
        <w:pStyle w:val="Heading1"/>
        <w:rPr>
          <w:b w:val="0"/>
          <w:bCs/>
        </w:rPr>
      </w:pPr>
      <w:r>
        <w:rPr>
          <w:b w:val="0"/>
          <w:bCs/>
        </w:rPr>
        <w:t>Th</w:t>
      </w:r>
      <w:r w:rsidR="00AD0AC0">
        <w:rPr>
          <w:b w:val="0"/>
          <w:bCs/>
        </w:rPr>
        <w:t xml:space="preserve">e Fund's voting record </w:t>
      </w:r>
      <w:r w:rsidR="005A0869">
        <w:rPr>
          <w:b w:val="0"/>
          <w:bCs/>
        </w:rPr>
        <w:t xml:space="preserve">using </w:t>
      </w:r>
      <w:r w:rsidR="00233F14">
        <w:rPr>
          <w:b w:val="0"/>
          <w:bCs/>
        </w:rPr>
        <w:t xml:space="preserve">PIRC </w:t>
      </w:r>
      <w:r w:rsidR="005A0869">
        <w:rPr>
          <w:b w:val="0"/>
          <w:bCs/>
        </w:rPr>
        <w:t xml:space="preserve">as its proxy </w:t>
      </w:r>
      <w:r w:rsidR="00AD0AC0">
        <w:rPr>
          <w:b w:val="0"/>
          <w:bCs/>
        </w:rPr>
        <w:t xml:space="preserve">for the </w:t>
      </w:r>
      <w:r w:rsidR="00C418E0">
        <w:rPr>
          <w:b w:val="0"/>
          <w:bCs/>
        </w:rPr>
        <w:t>three</w:t>
      </w:r>
      <w:r w:rsidR="00AD0AC0">
        <w:rPr>
          <w:b w:val="0"/>
          <w:bCs/>
        </w:rPr>
        <w:t xml:space="preserve"> months ended 3</w:t>
      </w:r>
      <w:r w:rsidR="004C3B78">
        <w:rPr>
          <w:b w:val="0"/>
          <w:bCs/>
        </w:rPr>
        <w:t xml:space="preserve">1 December </w:t>
      </w:r>
      <w:r w:rsidR="00C04443">
        <w:rPr>
          <w:b w:val="0"/>
          <w:bCs/>
        </w:rPr>
        <w:t>2012</w:t>
      </w:r>
      <w:r w:rsidR="00AD0AC0">
        <w:rPr>
          <w:b w:val="0"/>
          <w:bCs/>
        </w:rPr>
        <w:t xml:space="preserve"> is summarised below:</w:t>
      </w:r>
    </w:p>
    <w:tbl>
      <w:tblPr>
        <w:tblW w:w="0" w:type="auto"/>
        <w:tblLook w:val="04A0"/>
      </w:tblPr>
      <w:tblGrid>
        <w:gridCol w:w="675"/>
        <w:gridCol w:w="1316"/>
        <w:gridCol w:w="996"/>
        <w:gridCol w:w="1010"/>
        <w:gridCol w:w="1057"/>
        <w:gridCol w:w="1027"/>
        <w:gridCol w:w="1150"/>
        <w:gridCol w:w="1016"/>
      </w:tblGrid>
      <w:tr w:rsidR="00DA4EB1" w:rsidTr="00321C1B">
        <w:tc>
          <w:tcPr>
            <w:tcW w:w="675" w:type="dxa"/>
          </w:tcPr>
          <w:p w:rsidR="00DA4EB1" w:rsidRDefault="00DA4EB1" w:rsidP="00AD0AC0"/>
        </w:tc>
        <w:tc>
          <w:tcPr>
            <w:tcW w:w="1316" w:type="dxa"/>
            <w:tcBorders>
              <w:bottom w:val="single" w:sz="4" w:space="0" w:color="auto"/>
            </w:tcBorders>
          </w:tcPr>
          <w:p w:rsidR="00DA4EB1" w:rsidRDefault="00DA4EB1" w:rsidP="00AD0AC0"/>
        </w:tc>
        <w:tc>
          <w:tcPr>
            <w:tcW w:w="996" w:type="dxa"/>
            <w:tcBorders>
              <w:bottom w:val="single" w:sz="4" w:space="0" w:color="auto"/>
            </w:tcBorders>
          </w:tcPr>
          <w:p w:rsidR="00DA4EB1" w:rsidRDefault="00DA4EB1" w:rsidP="00AD0AC0"/>
        </w:tc>
        <w:tc>
          <w:tcPr>
            <w:tcW w:w="1010" w:type="dxa"/>
            <w:tcBorders>
              <w:bottom w:val="single" w:sz="4" w:space="0" w:color="auto"/>
            </w:tcBorders>
          </w:tcPr>
          <w:p w:rsidR="00DA4EB1" w:rsidRDefault="00DA4EB1" w:rsidP="00AD0AC0"/>
        </w:tc>
        <w:tc>
          <w:tcPr>
            <w:tcW w:w="1057" w:type="dxa"/>
            <w:tcBorders>
              <w:bottom w:val="single" w:sz="4" w:space="0" w:color="auto"/>
            </w:tcBorders>
          </w:tcPr>
          <w:p w:rsidR="00DA4EB1" w:rsidRDefault="00DA4EB1" w:rsidP="00AD0AC0"/>
        </w:tc>
        <w:tc>
          <w:tcPr>
            <w:tcW w:w="1027" w:type="dxa"/>
            <w:tcBorders>
              <w:bottom w:val="single" w:sz="4" w:space="0" w:color="auto"/>
            </w:tcBorders>
          </w:tcPr>
          <w:p w:rsidR="00DA4EB1" w:rsidRDefault="00DA4EB1" w:rsidP="00AD0AC0"/>
        </w:tc>
        <w:tc>
          <w:tcPr>
            <w:tcW w:w="1150" w:type="dxa"/>
            <w:tcBorders>
              <w:bottom w:val="single" w:sz="4" w:space="0" w:color="auto"/>
            </w:tcBorders>
          </w:tcPr>
          <w:p w:rsidR="00DA4EB1" w:rsidRDefault="00DA4EB1" w:rsidP="00AD0AC0"/>
        </w:tc>
        <w:tc>
          <w:tcPr>
            <w:tcW w:w="1016" w:type="dxa"/>
            <w:tcBorders>
              <w:bottom w:val="single" w:sz="4" w:space="0" w:color="auto"/>
            </w:tcBorders>
          </w:tcPr>
          <w:p w:rsidR="00DA4EB1" w:rsidRDefault="00DA4EB1" w:rsidP="00AD0AC0"/>
        </w:tc>
      </w:tr>
      <w:tr w:rsidR="00DA4EB1" w:rsidTr="00321C1B">
        <w:tc>
          <w:tcPr>
            <w:tcW w:w="675" w:type="dxa"/>
            <w:tcBorders>
              <w:right w:val="single" w:sz="4" w:space="0" w:color="auto"/>
            </w:tcBorders>
          </w:tcPr>
          <w:p w:rsidR="00DA4EB1" w:rsidRDefault="00DA4EB1" w:rsidP="00AD0AC0"/>
        </w:tc>
        <w:tc>
          <w:tcPr>
            <w:tcW w:w="1316" w:type="dxa"/>
            <w:tcBorders>
              <w:top w:val="single" w:sz="4" w:space="0" w:color="auto"/>
              <w:left w:val="single" w:sz="4" w:space="0" w:color="auto"/>
            </w:tcBorders>
          </w:tcPr>
          <w:p w:rsidR="00DA4EB1" w:rsidRDefault="00DA4EB1" w:rsidP="00AD0AC0">
            <w:r>
              <w:t>Region</w:t>
            </w:r>
          </w:p>
        </w:tc>
        <w:tc>
          <w:tcPr>
            <w:tcW w:w="996" w:type="dxa"/>
            <w:tcBorders>
              <w:top w:val="single" w:sz="4" w:space="0" w:color="auto"/>
              <w:right w:val="single" w:sz="4" w:space="0" w:color="auto"/>
            </w:tcBorders>
          </w:tcPr>
          <w:p w:rsidR="00DA4EB1" w:rsidRDefault="00DA4EB1" w:rsidP="00AD0AC0"/>
        </w:tc>
        <w:tc>
          <w:tcPr>
            <w:tcW w:w="1010" w:type="dxa"/>
            <w:tcBorders>
              <w:top w:val="single" w:sz="4" w:space="0" w:color="auto"/>
              <w:left w:val="single" w:sz="4" w:space="0" w:color="auto"/>
            </w:tcBorders>
          </w:tcPr>
          <w:p w:rsidR="00DA4EB1" w:rsidRDefault="00DA4EB1" w:rsidP="00AD0AC0"/>
        </w:tc>
        <w:tc>
          <w:tcPr>
            <w:tcW w:w="2084" w:type="dxa"/>
            <w:gridSpan w:val="2"/>
            <w:tcBorders>
              <w:top w:val="single" w:sz="4" w:space="0" w:color="auto"/>
            </w:tcBorders>
          </w:tcPr>
          <w:p w:rsidR="00DA4EB1" w:rsidRDefault="00DA4EB1" w:rsidP="00AD0AC0">
            <w:r>
              <w:t>Voting action:</w:t>
            </w:r>
          </w:p>
        </w:tc>
        <w:tc>
          <w:tcPr>
            <w:tcW w:w="1150" w:type="dxa"/>
            <w:tcBorders>
              <w:top w:val="single" w:sz="4" w:space="0" w:color="auto"/>
            </w:tcBorders>
          </w:tcPr>
          <w:p w:rsidR="00DA4EB1" w:rsidRDefault="00DA4EB1" w:rsidP="00AD0AC0"/>
        </w:tc>
        <w:tc>
          <w:tcPr>
            <w:tcW w:w="1016" w:type="dxa"/>
            <w:tcBorders>
              <w:top w:val="single" w:sz="4" w:space="0" w:color="auto"/>
              <w:right w:val="single" w:sz="4" w:space="0" w:color="auto"/>
            </w:tcBorders>
          </w:tcPr>
          <w:p w:rsidR="00DA4EB1" w:rsidRDefault="00DA4EB1" w:rsidP="00AD0AC0"/>
        </w:tc>
      </w:tr>
      <w:tr w:rsidR="00DA4EB1" w:rsidTr="00321C1B">
        <w:tc>
          <w:tcPr>
            <w:tcW w:w="675" w:type="dxa"/>
            <w:tcBorders>
              <w:right w:val="single" w:sz="4" w:space="0" w:color="auto"/>
            </w:tcBorders>
          </w:tcPr>
          <w:p w:rsidR="00DA4EB1" w:rsidRDefault="00DA4EB1" w:rsidP="00AD0AC0"/>
        </w:tc>
        <w:tc>
          <w:tcPr>
            <w:tcW w:w="1316" w:type="dxa"/>
            <w:tcBorders>
              <w:left w:val="single" w:sz="4" w:space="0" w:color="auto"/>
            </w:tcBorders>
          </w:tcPr>
          <w:p w:rsidR="00DA4EB1" w:rsidRDefault="00DA4EB1" w:rsidP="00AD0AC0"/>
        </w:tc>
        <w:tc>
          <w:tcPr>
            <w:tcW w:w="996" w:type="dxa"/>
            <w:tcBorders>
              <w:right w:val="single" w:sz="4" w:space="0" w:color="auto"/>
            </w:tcBorders>
          </w:tcPr>
          <w:p w:rsidR="00DA4EB1" w:rsidRDefault="00DA4EB1" w:rsidP="00AD0AC0"/>
        </w:tc>
        <w:tc>
          <w:tcPr>
            <w:tcW w:w="1010" w:type="dxa"/>
            <w:tcBorders>
              <w:left w:val="single" w:sz="4" w:space="0" w:color="auto"/>
            </w:tcBorders>
          </w:tcPr>
          <w:p w:rsidR="00DA4EB1" w:rsidRDefault="00DA4EB1" w:rsidP="003610B6">
            <w:pPr>
              <w:jc w:val="right"/>
            </w:pPr>
            <w:r>
              <w:t>For</w:t>
            </w:r>
          </w:p>
        </w:tc>
        <w:tc>
          <w:tcPr>
            <w:tcW w:w="1057" w:type="dxa"/>
          </w:tcPr>
          <w:p w:rsidR="00DA4EB1" w:rsidRDefault="00DA4EB1" w:rsidP="003610B6">
            <w:pPr>
              <w:jc w:val="right"/>
            </w:pPr>
            <w:r>
              <w:t>Oppose</w:t>
            </w:r>
          </w:p>
        </w:tc>
        <w:tc>
          <w:tcPr>
            <w:tcW w:w="1027" w:type="dxa"/>
          </w:tcPr>
          <w:p w:rsidR="00DA4EB1" w:rsidRDefault="00DA4EB1" w:rsidP="003610B6">
            <w:pPr>
              <w:jc w:val="right"/>
            </w:pPr>
            <w:r>
              <w:t>Abstain</w:t>
            </w:r>
          </w:p>
        </w:tc>
        <w:tc>
          <w:tcPr>
            <w:tcW w:w="1150" w:type="dxa"/>
          </w:tcPr>
          <w:p w:rsidR="00DA4EB1" w:rsidRDefault="00DA4EB1" w:rsidP="003610B6">
            <w:pPr>
              <w:jc w:val="right"/>
            </w:pPr>
            <w:r>
              <w:t>Withheld</w:t>
            </w:r>
          </w:p>
        </w:tc>
        <w:tc>
          <w:tcPr>
            <w:tcW w:w="1016" w:type="dxa"/>
            <w:tcBorders>
              <w:right w:val="single" w:sz="4" w:space="0" w:color="auto"/>
            </w:tcBorders>
          </w:tcPr>
          <w:p w:rsidR="00DA4EB1" w:rsidRDefault="00DA4EB1" w:rsidP="003610B6">
            <w:pPr>
              <w:jc w:val="right"/>
            </w:pPr>
            <w:r>
              <w:t>Total</w:t>
            </w:r>
          </w:p>
        </w:tc>
      </w:tr>
      <w:tr w:rsidR="00DA4EB1" w:rsidTr="00321C1B">
        <w:tc>
          <w:tcPr>
            <w:tcW w:w="675" w:type="dxa"/>
            <w:tcBorders>
              <w:right w:val="single" w:sz="4" w:space="0" w:color="auto"/>
            </w:tcBorders>
          </w:tcPr>
          <w:p w:rsidR="00DA4EB1" w:rsidRDefault="00DA4EB1" w:rsidP="00AD0AC0"/>
        </w:tc>
        <w:tc>
          <w:tcPr>
            <w:tcW w:w="1316" w:type="dxa"/>
            <w:tcBorders>
              <w:left w:val="single" w:sz="4" w:space="0" w:color="auto"/>
            </w:tcBorders>
          </w:tcPr>
          <w:p w:rsidR="00DA4EB1" w:rsidRDefault="00DA4EB1" w:rsidP="00AD0AC0"/>
        </w:tc>
        <w:tc>
          <w:tcPr>
            <w:tcW w:w="996" w:type="dxa"/>
            <w:tcBorders>
              <w:right w:val="single" w:sz="4" w:space="0" w:color="auto"/>
            </w:tcBorders>
          </w:tcPr>
          <w:p w:rsidR="00DA4EB1" w:rsidRDefault="00DA4EB1" w:rsidP="00AD0AC0"/>
        </w:tc>
        <w:tc>
          <w:tcPr>
            <w:tcW w:w="1010" w:type="dxa"/>
            <w:tcBorders>
              <w:left w:val="single" w:sz="4" w:space="0" w:color="auto"/>
            </w:tcBorders>
          </w:tcPr>
          <w:p w:rsidR="00DA4EB1" w:rsidRDefault="00DA4EB1" w:rsidP="00AD0AC0"/>
        </w:tc>
        <w:tc>
          <w:tcPr>
            <w:tcW w:w="1057" w:type="dxa"/>
          </w:tcPr>
          <w:p w:rsidR="00DA4EB1" w:rsidRDefault="00DA4EB1" w:rsidP="00AD0AC0"/>
        </w:tc>
        <w:tc>
          <w:tcPr>
            <w:tcW w:w="1027" w:type="dxa"/>
          </w:tcPr>
          <w:p w:rsidR="00DA4EB1" w:rsidRDefault="00DA4EB1" w:rsidP="00AD0AC0"/>
        </w:tc>
        <w:tc>
          <w:tcPr>
            <w:tcW w:w="1150" w:type="dxa"/>
          </w:tcPr>
          <w:p w:rsidR="00DA4EB1" w:rsidRDefault="00DA4EB1" w:rsidP="00AD0AC0"/>
        </w:tc>
        <w:tc>
          <w:tcPr>
            <w:tcW w:w="1016" w:type="dxa"/>
            <w:tcBorders>
              <w:right w:val="single" w:sz="4" w:space="0" w:color="auto"/>
            </w:tcBorders>
          </w:tcPr>
          <w:p w:rsidR="00DA4EB1" w:rsidRDefault="00DA4EB1" w:rsidP="00AD0AC0"/>
        </w:tc>
      </w:tr>
      <w:tr w:rsidR="00DA4EB1" w:rsidTr="00321C1B">
        <w:tc>
          <w:tcPr>
            <w:tcW w:w="675" w:type="dxa"/>
            <w:tcBorders>
              <w:right w:val="single" w:sz="4" w:space="0" w:color="auto"/>
            </w:tcBorders>
          </w:tcPr>
          <w:p w:rsidR="00DA4EB1" w:rsidRDefault="00DA4EB1" w:rsidP="00AD0AC0"/>
        </w:tc>
        <w:tc>
          <w:tcPr>
            <w:tcW w:w="1316" w:type="dxa"/>
            <w:tcBorders>
              <w:left w:val="single" w:sz="4" w:space="0" w:color="auto"/>
            </w:tcBorders>
          </w:tcPr>
          <w:p w:rsidR="00DA4EB1" w:rsidRDefault="00DA4EB1" w:rsidP="00AD0AC0">
            <w:r>
              <w:t>UK</w:t>
            </w:r>
          </w:p>
        </w:tc>
        <w:tc>
          <w:tcPr>
            <w:tcW w:w="996" w:type="dxa"/>
            <w:tcBorders>
              <w:right w:val="single" w:sz="4" w:space="0" w:color="auto"/>
            </w:tcBorders>
          </w:tcPr>
          <w:p w:rsidR="00DA4EB1" w:rsidRDefault="00DA4EB1" w:rsidP="00AD0AC0"/>
        </w:tc>
        <w:tc>
          <w:tcPr>
            <w:tcW w:w="1010" w:type="dxa"/>
            <w:tcBorders>
              <w:left w:val="single" w:sz="4" w:space="0" w:color="auto"/>
            </w:tcBorders>
          </w:tcPr>
          <w:p w:rsidR="00DA4EB1" w:rsidRPr="00F24FB0" w:rsidRDefault="00F24FB0" w:rsidP="00F24FB0">
            <w:pPr>
              <w:jc w:val="right"/>
            </w:pPr>
            <w:r w:rsidRPr="00F24FB0">
              <w:t>42</w:t>
            </w:r>
          </w:p>
        </w:tc>
        <w:tc>
          <w:tcPr>
            <w:tcW w:w="1057" w:type="dxa"/>
          </w:tcPr>
          <w:p w:rsidR="00DA4EB1" w:rsidRPr="00F24FB0" w:rsidRDefault="00F24FB0" w:rsidP="00F24FB0">
            <w:pPr>
              <w:jc w:val="right"/>
            </w:pPr>
            <w:r w:rsidRPr="00F24FB0">
              <w:t>9</w:t>
            </w:r>
          </w:p>
        </w:tc>
        <w:tc>
          <w:tcPr>
            <w:tcW w:w="1027" w:type="dxa"/>
          </w:tcPr>
          <w:p w:rsidR="00DA4EB1" w:rsidRPr="00F24FB0" w:rsidRDefault="00F24FB0" w:rsidP="00F24FB0">
            <w:pPr>
              <w:jc w:val="right"/>
            </w:pPr>
            <w:r w:rsidRPr="00F24FB0">
              <w:t>6</w:t>
            </w:r>
          </w:p>
        </w:tc>
        <w:tc>
          <w:tcPr>
            <w:tcW w:w="1150" w:type="dxa"/>
          </w:tcPr>
          <w:p w:rsidR="00DA4EB1" w:rsidRPr="00F24FB0" w:rsidRDefault="00DA4EB1" w:rsidP="003610B6">
            <w:pPr>
              <w:jc w:val="right"/>
            </w:pPr>
            <w:r w:rsidRPr="00F24FB0">
              <w:t>-</w:t>
            </w:r>
          </w:p>
        </w:tc>
        <w:tc>
          <w:tcPr>
            <w:tcW w:w="1016" w:type="dxa"/>
            <w:tcBorders>
              <w:right w:val="single" w:sz="4" w:space="0" w:color="auto"/>
            </w:tcBorders>
          </w:tcPr>
          <w:p w:rsidR="00DA4EB1" w:rsidRPr="00F24FB0" w:rsidRDefault="00F24FB0" w:rsidP="00F24FB0">
            <w:pPr>
              <w:jc w:val="right"/>
            </w:pPr>
            <w:r w:rsidRPr="00F24FB0">
              <w:t>57</w:t>
            </w:r>
          </w:p>
        </w:tc>
      </w:tr>
      <w:tr w:rsidR="00DA4EB1" w:rsidTr="00321C1B">
        <w:tc>
          <w:tcPr>
            <w:tcW w:w="675" w:type="dxa"/>
            <w:tcBorders>
              <w:right w:val="single" w:sz="4" w:space="0" w:color="auto"/>
            </w:tcBorders>
          </w:tcPr>
          <w:p w:rsidR="00DA4EB1" w:rsidRDefault="00DA4EB1" w:rsidP="00AD0AC0"/>
        </w:tc>
        <w:tc>
          <w:tcPr>
            <w:tcW w:w="1316" w:type="dxa"/>
            <w:tcBorders>
              <w:left w:val="single" w:sz="4" w:space="0" w:color="auto"/>
            </w:tcBorders>
          </w:tcPr>
          <w:p w:rsidR="00DA4EB1" w:rsidRDefault="00DA4EB1" w:rsidP="00AD0AC0">
            <w:r>
              <w:t>Europe</w:t>
            </w:r>
          </w:p>
        </w:tc>
        <w:tc>
          <w:tcPr>
            <w:tcW w:w="996" w:type="dxa"/>
            <w:tcBorders>
              <w:right w:val="single" w:sz="4" w:space="0" w:color="auto"/>
            </w:tcBorders>
          </w:tcPr>
          <w:p w:rsidR="00DA4EB1" w:rsidRDefault="00DA4EB1" w:rsidP="00AD0AC0"/>
        </w:tc>
        <w:tc>
          <w:tcPr>
            <w:tcW w:w="1010" w:type="dxa"/>
            <w:tcBorders>
              <w:left w:val="single" w:sz="4" w:space="0" w:color="auto"/>
            </w:tcBorders>
          </w:tcPr>
          <w:p w:rsidR="00DA4EB1" w:rsidRPr="00F24FB0" w:rsidRDefault="00F24FB0" w:rsidP="00F24FB0">
            <w:pPr>
              <w:jc w:val="right"/>
            </w:pPr>
            <w:r w:rsidRPr="00F24FB0">
              <w:t>4</w:t>
            </w:r>
          </w:p>
        </w:tc>
        <w:tc>
          <w:tcPr>
            <w:tcW w:w="1057" w:type="dxa"/>
          </w:tcPr>
          <w:p w:rsidR="00DA4EB1" w:rsidRPr="00F24FB0" w:rsidRDefault="00F24FB0" w:rsidP="00F24FB0">
            <w:pPr>
              <w:jc w:val="right"/>
            </w:pPr>
            <w:r w:rsidRPr="00F24FB0">
              <w:t>3</w:t>
            </w:r>
          </w:p>
        </w:tc>
        <w:tc>
          <w:tcPr>
            <w:tcW w:w="1027" w:type="dxa"/>
          </w:tcPr>
          <w:p w:rsidR="00DA4EB1" w:rsidRPr="00F24FB0" w:rsidRDefault="00F24FB0" w:rsidP="00F24FB0">
            <w:pPr>
              <w:jc w:val="right"/>
            </w:pPr>
            <w:r w:rsidRPr="00F24FB0">
              <w:t>-</w:t>
            </w:r>
          </w:p>
        </w:tc>
        <w:tc>
          <w:tcPr>
            <w:tcW w:w="1150" w:type="dxa"/>
          </w:tcPr>
          <w:p w:rsidR="00DA4EB1" w:rsidRPr="00F24FB0" w:rsidRDefault="00DA4EB1" w:rsidP="003610B6">
            <w:pPr>
              <w:jc w:val="right"/>
            </w:pPr>
            <w:r w:rsidRPr="00F24FB0">
              <w:t>-</w:t>
            </w:r>
          </w:p>
        </w:tc>
        <w:tc>
          <w:tcPr>
            <w:tcW w:w="1016" w:type="dxa"/>
            <w:tcBorders>
              <w:right w:val="single" w:sz="4" w:space="0" w:color="auto"/>
            </w:tcBorders>
          </w:tcPr>
          <w:p w:rsidR="00C11128" w:rsidRPr="00F24FB0" w:rsidRDefault="00F24FB0" w:rsidP="00F24FB0">
            <w:pPr>
              <w:jc w:val="right"/>
            </w:pPr>
            <w:r w:rsidRPr="00F24FB0">
              <w:t>7</w:t>
            </w:r>
          </w:p>
        </w:tc>
      </w:tr>
      <w:tr w:rsidR="00DA4EB1" w:rsidTr="00321C1B">
        <w:tc>
          <w:tcPr>
            <w:tcW w:w="675" w:type="dxa"/>
            <w:tcBorders>
              <w:right w:val="single" w:sz="4" w:space="0" w:color="auto"/>
            </w:tcBorders>
          </w:tcPr>
          <w:p w:rsidR="00DA4EB1" w:rsidRDefault="00DA4EB1" w:rsidP="00AD0AC0"/>
        </w:tc>
        <w:tc>
          <w:tcPr>
            <w:tcW w:w="1316" w:type="dxa"/>
            <w:tcBorders>
              <w:left w:val="single" w:sz="4" w:space="0" w:color="auto"/>
            </w:tcBorders>
          </w:tcPr>
          <w:p w:rsidR="00DA4EB1" w:rsidRDefault="00DA4EB1" w:rsidP="00AD0AC0">
            <w:r>
              <w:t>USA</w:t>
            </w:r>
          </w:p>
        </w:tc>
        <w:tc>
          <w:tcPr>
            <w:tcW w:w="996" w:type="dxa"/>
            <w:tcBorders>
              <w:right w:val="single" w:sz="4" w:space="0" w:color="auto"/>
            </w:tcBorders>
          </w:tcPr>
          <w:p w:rsidR="00DA4EB1" w:rsidRDefault="00DA4EB1" w:rsidP="00AD0AC0"/>
        </w:tc>
        <w:tc>
          <w:tcPr>
            <w:tcW w:w="1010" w:type="dxa"/>
            <w:tcBorders>
              <w:left w:val="single" w:sz="4" w:space="0" w:color="auto"/>
            </w:tcBorders>
          </w:tcPr>
          <w:p w:rsidR="00DA4EB1" w:rsidRPr="00F24FB0" w:rsidRDefault="00F24FB0" w:rsidP="00F24FB0">
            <w:pPr>
              <w:jc w:val="right"/>
            </w:pPr>
            <w:r w:rsidRPr="00F24FB0">
              <w:t>23</w:t>
            </w:r>
          </w:p>
        </w:tc>
        <w:tc>
          <w:tcPr>
            <w:tcW w:w="1057" w:type="dxa"/>
          </w:tcPr>
          <w:p w:rsidR="00DA4EB1" w:rsidRPr="00F24FB0" w:rsidRDefault="0095583F" w:rsidP="00F24FB0">
            <w:pPr>
              <w:jc w:val="right"/>
            </w:pPr>
            <w:r w:rsidRPr="00F24FB0">
              <w:t>1</w:t>
            </w:r>
            <w:r w:rsidR="00F24FB0" w:rsidRPr="00F24FB0">
              <w:t>3</w:t>
            </w:r>
          </w:p>
        </w:tc>
        <w:tc>
          <w:tcPr>
            <w:tcW w:w="1027" w:type="dxa"/>
          </w:tcPr>
          <w:p w:rsidR="00DA4EB1" w:rsidRPr="00F24FB0" w:rsidRDefault="00F24FB0" w:rsidP="00F24FB0">
            <w:pPr>
              <w:jc w:val="right"/>
            </w:pPr>
            <w:r w:rsidRPr="00F24FB0">
              <w:t>1</w:t>
            </w:r>
          </w:p>
        </w:tc>
        <w:tc>
          <w:tcPr>
            <w:tcW w:w="1150" w:type="dxa"/>
          </w:tcPr>
          <w:p w:rsidR="00DA4EB1" w:rsidRPr="00F24FB0" w:rsidRDefault="00F24FB0" w:rsidP="00F24FB0">
            <w:pPr>
              <w:jc w:val="right"/>
            </w:pPr>
            <w:r w:rsidRPr="00F24FB0">
              <w:t>7</w:t>
            </w:r>
          </w:p>
        </w:tc>
        <w:tc>
          <w:tcPr>
            <w:tcW w:w="1016" w:type="dxa"/>
            <w:tcBorders>
              <w:right w:val="single" w:sz="4" w:space="0" w:color="auto"/>
            </w:tcBorders>
          </w:tcPr>
          <w:p w:rsidR="00DA4EB1" w:rsidRPr="00F24FB0" w:rsidRDefault="00F24FB0" w:rsidP="00F24FB0">
            <w:pPr>
              <w:jc w:val="right"/>
            </w:pPr>
            <w:r w:rsidRPr="00F24FB0">
              <w:t>44</w:t>
            </w:r>
          </w:p>
        </w:tc>
      </w:tr>
      <w:tr w:rsidR="00DA4EB1" w:rsidTr="00321C1B">
        <w:tc>
          <w:tcPr>
            <w:tcW w:w="675" w:type="dxa"/>
            <w:tcBorders>
              <w:right w:val="single" w:sz="4" w:space="0" w:color="auto"/>
            </w:tcBorders>
          </w:tcPr>
          <w:p w:rsidR="00DA4EB1" w:rsidRDefault="00DA4EB1" w:rsidP="00AD0AC0"/>
        </w:tc>
        <w:tc>
          <w:tcPr>
            <w:tcW w:w="1316" w:type="dxa"/>
            <w:tcBorders>
              <w:left w:val="single" w:sz="4" w:space="0" w:color="auto"/>
            </w:tcBorders>
          </w:tcPr>
          <w:p w:rsidR="00DA4EB1" w:rsidRDefault="00DA4EB1" w:rsidP="00AD0AC0">
            <w:r>
              <w:t>Japan</w:t>
            </w:r>
          </w:p>
        </w:tc>
        <w:tc>
          <w:tcPr>
            <w:tcW w:w="996" w:type="dxa"/>
            <w:tcBorders>
              <w:right w:val="single" w:sz="4" w:space="0" w:color="auto"/>
            </w:tcBorders>
          </w:tcPr>
          <w:p w:rsidR="00DA4EB1" w:rsidRDefault="00DA4EB1" w:rsidP="00AD0AC0"/>
        </w:tc>
        <w:tc>
          <w:tcPr>
            <w:tcW w:w="1010" w:type="dxa"/>
            <w:tcBorders>
              <w:left w:val="single" w:sz="4" w:space="0" w:color="auto"/>
            </w:tcBorders>
          </w:tcPr>
          <w:p w:rsidR="00DA4EB1" w:rsidRPr="00F24FB0" w:rsidRDefault="00F24FB0" w:rsidP="00F24FB0">
            <w:pPr>
              <w:jc w:val="right"/>
            </w:pPr>
            <w:r w:rsidRPr="00F24FB0">
              <w:t>-</w:t>
            </w:r>
          </w:p>
        </w:tc>
        <w:tc>
          <w:tcPr>
            <w:tcW w:w="1057" w:type="dxa"/>
          </w:tcPr>
          <w:p w:rsidR="00DA4EB1" w:rsidRPr="00F24FB0" w:rsidRDefault="00F24FB0" w:rsidP="00F24FB0">
            <w:pPr>
              <w:jc w:val="right"/>
            </w:pPr>
            <w:r w:rsidRPr="00F24FB0">
              <w:t>-</w:t>
            </w:r>
          </w:p>
        </w:tc>
        <w:tc>
          <w:tcPr>
            <w:tcW w:w="1027" w:type="dxa"/>
          </w:tcPr>
          <w:p w:rsidR="00DA4EB1" w:rsidRPr="00F24FB0" w:rsidRDefault="0095583F" w:rsidP="003610B6">
            <w:pPr>
              <w:jc w:val="right"/>
            </w:pPr>
            <w:r w:rsidRPr="00F24FB0">
              <w:t>-</w:t>
            </w:r>
          </w:p>
        </w:tc>
        <w:tc>
          <w:tcPr>
            <w:tcW w:w="1150" w:type="dxa"/>
          </w:tcPr>
          <w:p w:rsidR="00DA4EB1" w:rsidRPr="00F24FB0" w:rsidRDefault="00DA4EB1" w:rsidP="003610B6">
            <w:pPr>
              <w:jc w:val="right"/>
            </w:pPr>
            <w:r w:rsidRPr="00F24FB0">
              <w:t>-</w:t>
            </w:r>
          </w:p>
        </w:tc>
        <w:tc>
          <w:tcPr>
            <w:tcW w:w="1016" w:type="dxa"/>
            <w:tcBorders>
              <w:right w:val="single" w:sz="4" w:space="0" w:color="auto"/>
            </w:tcBorders>
          </w:tcPr>
          <w:p w:rsidR="00DA4EB1" w:rsidRPr="00F24FB0" w:rsidRDefault="00F24FB0" w:rsidP="00F24FB0">
            <w:pPr>
              <w:jc w:val="right"/>
            </w:pPr>
            <w:r w:rsidRPr="00F24FB0">
              <w:t>-</w:t>
            </w:r>
          </w:p>
        </w:tc>
      </w:tr>
      <w:tr w:rsidR="00DA4EB1" w:rsidTr="00321C1B">
        <w:tc>
          <w:tcPr>
            <w:tcW w:w="675" w:type="dxa"/>
            <w:tcBorders>
              <w:right w:val="single" w:sz="4" w:space="0" w:color="auto"/>
            </w:tcBorders>
          </w:tcPr>
          <w:p w:rsidR="00DA4EB1" w:rsidRDefault="00DA4EB1" w:rsidP="00AD0AC0"/>
        </w:tc>
        <w:tc>
          <w:tcPr>
            <w:tcW w:w="1316" w:type="dxa"/>
            <w:tcBorders>
              <w:left w:val="single" w:sz="4" w:space="0" w:color="auto"/>
            </w:tcBorders>
          </w:tcPr>
          <w:p w:rsidR="00DA4EB1" w:rsidRDefault="00DA4EB1" w:rsidP="00AD0AC0">
            <w:r>
              <w:t>R</w:t>
            </w:r>
            <w:r w:rsidR="0062743C">
              <w:t xml:space="preserve">est </w:t>
            </w:r>
            <w:r>
              <w:t>o</w:t>
            </w:r>
            <w:r w:rsidR="0062743C">
              <w:t xml:space="preserve">f </w:t>
            </w:r>
            <w:r>
              <w:t>W</w:t>
            </w:r>
            <w:r w:rsidR="0062743C">
              <w:t>orld</w:t>
            </w:r>
          </w:p>
        </w:tc>
        <w:tc>
          <w:tcPr>
            <w:tcW w:w="996" w:type="dxa"/>
            <w:tcBorders>
              <w:right w:val="single" w:sz="4" w:space="0" w:color="auto"/>
            </w:tcBorders>
          </w:tcPr>
          <w:p w:rsidR="00DA4EB1" w:rsidRDefault="00DA4EB1" w:rsidP="00AD0AC0"/>
        </w:tc>
        <w:tc>
          <w:tcPr>
            <w:tcW w:w="1010" w:type="dxa"/>
            <w:tcBorders>
              <w:left w:val="single" w:sz="4" w:space="0" w:color="auto"/>
            </w:tcBorders>
          </w:tcPr>
          <w:p w:rsidR="00DA4EB1" w:rsidRPr="00682A7B" w:rsidRDefault="00682A7B" w:rsidP="00682A7B">
            <w:pPr>
              <w:jc w:val="right"/>
            </w:pPr>
            <w:r w:rsidRPr="00682A7B">
              <w:t>51</w:t>
            </w:r>
          </w:p>
        </w:tc>
        <w:tc>
          <w:tcPr>
            <w:tcW w:w="1057" w:type="dxa"/>
          </w:tcPr>
          <w:p w:rsidR="00DA4EB1" w:rsidRPr="00682A7B" w:rsidRDefault="00682A7B" w:rsidP="00682A7B">
            <w:pPr>
              <w:jc w:val="right"/>
            </w:pPr>
            <w:r w:rsidRPr="00682A7B">
              <w:t>24</w:t>
            </w:r>
          </w:p>
        </w:tc>
        <w:tc>
          <w:tcPr>
            <w:tcW w:w="1027" w:type="dxa"/>
          </w:tcPr>
          <w:p w:rsidR="00DA4EB1" w:rsidRPr="00682A7B" w:rsidRDefault="00F24FB0" w:rsidP="00F24FB0">
            <w:pPr>
              <w:jc w:val="right"/>
            </w:pPr>
            <w:r w:rsidRPr="00682A7B">
              <w:t>10</w:t>
            </w:r>
          </w:p>
        </w:tc>
        <w:tc>
          <w:tcPr>
            <w:tcW w:w="1150" w:type="dxa"/>
          </w:tcPr>
          <w:p w:rsidR="006905DC" w:rsidRPr="00682A7B" w:rsidRDefault="0095583F" w:rsidP="00F24FB0">
            <w:pPr>
              <w:jc w:val="right"/>
            </w:pPr>
            <w:r w:rsidRPr="00682A7B">
              <w:t>-</w:t>
            </w:r>
          </w:p>
        </w:tc>
        <w:tc>
          <w:tcPr>
            <w:tcW w:w="1016" w:type="dxa"/>
            <w:tcBorders>
              <w:right w:val="single" w:sz="4" w:space="0" w:color="auto"/>
            </w:tcBorders>
          </w:tcPr>
          <w:p w:rsidR="00DA4EB1" w:rsidRPr="00682A7B" w:rsidRDefault="00682A7B" w:rsidP="00682A7B">
            <w:pPr>
              <w:jc w:val="right"/>
            </w:pPr>
            <w:r w:rsidRPr="00682A7B">
              <w:t>85</w:t>
            </w:r>
          </w:p>
        </w:tc>
      </w:tr>
      <w:tr w:rsidR="00DA4EB1" w:rsidTr="00321C1B">
        <w:tc>
          <w:tcPr>
            <w:tcW w:w="675" w:type="dxa"/>
            <w:tcBorders>
              <w:right w:val="single" w:sz="4" w:space="0" w:color="auto"/>
            </w:tcBorders>
          </w:tcPr>
          <w:p w:rsidR="00DA4EB1" w:rsidRDefault="00DA4EB1" w:rsidP="00AD0AC0"/>
        </w:tc>
        <w:tc>
          <w:tcPr>
            <w:tcW w:w="1316" w:type="dxa"/>
            <w:tcBorders>
              <w:left w:val="single" w:sz="4" w:space="0" w:color="auto"/>
            </w:tcBorders>
          </w:tcPr>
          <w:p w:rsidR="00DA4EB1" w:rsidRDefault="00DA4EB1" w:rsidP="00AD0AC0"/>
        </w:tc>
        <w:tc>
          <w:tcPr>
            <w:tcW w:w="996" w:type="dxa"/>
            <w:tcBorders>
              <w:right w:val="single" w:sz="4" w:space="0" w:color="auto"/>
            </w:tcBorders>
          </w:tcPr>
          <w:p w:rsidR="00DA4EB1" w:rsidRDefault="00DA4EB1" w:rsidP="00AD0AC0"/>
        </w:tc>
        <w:tc>
          <w:tcPr>
            <w:tcW w:w="1010" w:type="dxa"/>
            <w:tcBorders>
              <w:left w:val="single" w:sz="4" w:space="0" w:color="auto"/>
              <w:bottom w:val="single" w:sz="4" w:space="0" w:color="000000"/>
            </w:tcBorders>
          </w:tcPr>
          <w:p w:rsidR="00DA4EB1" w:rsidRPr="00F24FB0" w:rsidRDefault="00DA4EB1" w:rsidP="003610B6">
            <w:pPr>
              <w:jc w:val="right"/>
            </w:pPr>
          </w:p>
        </w:tc>
        <w:tc>
          <w:tcPr>
            <w:tcW w:w="1057" w:type="dxa"/>
            <w:tcBorders>
              <w:bottom w:val="single" w:sz="4" w:space="0" w:color="000000"/>
            </w:tcBorders>
          </w:tcPr>
          <w:p w:rsidR="00DA4EB1" w:rsidRPr="00F24FB0" w:rsidRDefault="00DA4EB1" w:rsidP="003610B6">
            <w:pPr>
              <w:jc w:val="right"/>
            </w:pPr>
          </w:p>
        </w:tc>
        <w:tc>
          <w:tcPr>
            <w:tcW w:w="1027" w:type="dxa"/>
            <w:tcBorders>
              <w:bottom w:val="single" w:sz="4" w:space="0" w:color="000000"/>
            </w:tcBorders>
          </w:tcPr>
          <w:p w:rsidR="00DA4EB1" w:rsidRPr="00F24FB0" w:rsidRDefault="00DA4EB1" w:rsidP="003610B6">
            <w:pPr>
              <w:jc w:val="right"/>
            </w:pPr>
          </w:p>
        </w:tc>
        <w:tc>
          <w:tcPr>
            <w:tcW w:w="1150" w:type="dxa"/>
            <w:tcBorders>
              <w:bottom w:val="single" w:sz="4" w:space="0" w:color="000000"/>
            </w:tcBorders>
          </w:tcPr>
          <w:p w:rsidR="00DA4EB1" w:rsidRPr="00F24FB0" w:rsidRDefault="00DA4EB1" w:rsidP="003610B6">
            <w:pPr>
              <w:jc w:val="right"/>
            </w:pPr>
          </w:p>
        </w:tc>
        <w:tc>
          <w:tcPr>
            <w:tcW w:w="1016" w:type="dxa"/>
            <w:tcBorders>
              <w:bottom w:val="single" w:sz="4" w:space="0" w:color="000000"/>
              <w:right w:val="single" w:sz="4" w:space="0" w:color="auto"/>
            </w:tcBorders>
          </w:tcPr>
          <w:p w:rsidR="00DA4EB1" w:rsidRPr="00F24FB0" w:rsidRDefault="00DA4EB1" w:rsidP="003610B6">
            <w:pPr>
              <w:jc w:val="right"/>
            </w:pPr>
          </w:p>
        </w:tc>
      </w:tr>
      <w:tr w:rsidR="00DA4EB1" w:rsidTr="00321C1B">
        <w:tc>
          <w:tcPr>
            <w:tcW w:w="675" w:type="dxa"/>
            <w:tcBorders>
              <w:right w:val="single" w:sz="4" w:space="0" w:color="auto"/>
            </w:tcBorders>
          </w:tcPr>
          <w:p w:rsidR="00DA4EB1" w:rsidRDefault="00DA4EB1" w:rsidP="00AD0AC0"/>
        </w:tc>
        <w:tc>
          <w:tcPr>
            <w:tcW w:w="1316" w:type="dxa"/>
            <w:tcBorders>
              <w:left w:val="single" w:sz="4" w:space="0" w:color="auto"/>
              <w:bottom w:val="single" w:sz="4" w:space="0" w:color="auto"/>
            </w:tcBorders>
          </w:tcPr>
          <w:p w:rsidR="00DA4EB1" w:rsidRDefault="00DA4EB1" w:rsidP="00AD0AC0">
            <w:r>
              <w:t>Total</w:t>
            </w:r>
          </w:p>
        </w:tc>
        <w:tc>
          <w:tcPr>
            <w:tcW w:w="996" w:type="dxa"/>
            <w:tcBorders>
              <w:bottom w:val="single" w:sz="4" w:space="0" w:color="auto"/>
              <w:right w:val="single" w:sz="4" w:space="0" w:color="auto"/>
            </w:tcBorders>
          </w:tcPr>
          <w:p w:rsidR="00DA4EB1" w:rsidRDefault="00DA4EB1" w:rsidP="00AD0AC0"/>
        </w:tc>
        <w:tc>
          <w:tcPr>
            <w:tcW w:w="1010" w:type="dxa"/>
            <w:tcBorders>
              <w:top w:val="single" w:sz="4" w:space="0" w:color="000000"/>
              <w:left w:val="single" w:sz="4" w:space="0" w:color="auto"/>
              <w:bottom w:val="single" w:sz="4" w:space="0" w:color="auto"/>
            </w:tcBorders>
          </w:tcPr>
          <w:p w:rsidR="00DA4EB1" w:rsidRPr="00F24FB0" w:rsidRDefault="00F24FB0" w:rsidP="00682A7B">
            <w:pPr>
              <w:jc w:val="right"/>
            </w:pPr>
            <w:r w:rsidRPr="00F24FB0">
              <w:t>1</w:t>
            </w:r>
            <w:r w:rsidR="00682A7B">
              <w:t>20</w:t>
            </w:r>
          </w:p>
        </w:tc>
        <w:tc>
          <w:tcPr>
            <w:tcW w:w="1057" w:type="dxa"/>
            <w:tcBorders>
              <w:top w:val="single" w:sz="4" w:space="0" w:color="000000"/>
              <w:bottom w:val="single" w:sz="4" w:space="0" w:color="auto"/>
            </w:tcBorders>
          </w:tcPr>
          <w:p w:rsidR="00DA4EB1" w:rsidRPr="00F24FB0" w:rsidRDefault="00682A7B" w:rsidP="00682A7B">
            <w:pPr>
              <w:jc w:val="right"/>
            </w:pPr>
            <w:r>
              <w:t>49</w:t>
            </w:r>
          </w:p>
        </w:tc>
        <w:tc>
          <w:tcPr>
            <w:tcW w:w="1027" w:type="dxa"/>
            <w:tcBorders>
              <w:top w:val="single" w:sz="4" w:space="0" w:color="000000"/>
              <w:bottom w:val="single" w:sz="4" w:space="0" w:color="auto"/>
            </w:tcBorders>
          </w:tcPr>
          <w:p w:rsidR="00DA4EB1" w:rsidRPr="00F24FB0" w:rsidRDefault="00F24FB0" w:rsidP="00F24FB0">
            <w:pPr>
              <w:jc w:val="right"/>
            </w:pPr>
            <w:r w:rsidRPr="00F24FB0">
              <w:t>17</w:t>
            </w:r>
          </w:p>
        </w:tc>
        <w:tc>
          <w:tcPr>
            <w:tcW w:w="1150" w:type="dxa"/>
            <w:tcBorders>
              <w:top w:val="single" w:sz="4" w:space="0" w:color="000000"/>
              <w:bottom w:val="single" w:sz="4" w:space="0" w:color="auto"/>
            </w:tcBorders>
          </w:tcPr>
          <w:p w:rsidR="00DA4EB1" w:rsidRPr="00F24FB0" w:rsidRDefault="00F24FB0" w:rsidP="00F24FB0">
            <w:pPr>
              <w:jc w:val="right"/>
            </w:pPr>
            <w:r w:rsidRPr="00F24FB0">
              <w:t>7</w:t>
            </w:r>
          </w:p>
        </w:tc>
        <w:tc>
          <w:tcPr>
            <w:tcW w:w="1016" w:type="dxa"/>
            <w:tcBorders>
              <w:top w:val="single" w:sz="4" w:space="0" w:color="000000"/>
              <w:bottom w:val="single" w:sz="4" w:space="0" w:color="auto"/>
              <w:right w:val="single" w:sz="4" w:space="0" w:color="auto"/>
            </w:tcBorders>
          </w:tcPr>
          <w:p w:rsidR="00DA4EB1" w:rsidRPr="00F24FB0" w:rsidRDefault="00F24FB0" w:rsidP="00682A7B">
            <w:pPr>
              <w:jc w:val="right"/>
            </w:pPr>
            <w:r w:rsidRPr="00F24FB0">
              <w:t>1</w:t>
            </w:r>
            <w:r w:rsidR="00682A7B">
              <w:t>93</w:t>
            </w:r>
          </w:p>
        </w:tc>
      </w:tr>
      <w:tr w:rsidR="00DA4EB1" w:rsidTr="00321C1B">
        <w:tc>
          <w:tcPr>
            <w:tcW w:w="675" w:type="dxa"/>
          </w:tcPr>
          <w:p w:rsidR="00DA4EB1" w:rsidRDefault="00DA4EB1" w:rsidP="00AD0AC0"/>
        </w:tc>
        <w:tc>
          <w:tcPr>
            <w:tcW w:w="1316" w:type="dxa"/>
            <w:tcBorders>
              <w:top w:val="single" w:sz="4" w:space="0" w:color="auto"/>
            </w:tcBorders>
          </w:tcPr>
          <w:p w:rsidR="00DA4EB1" w:rsidRDefault="00DA4EB1" w:rsidP="00AD0AC0"/>
        </w:tc>
        <w:tc>
          <w:tcPr>
            <w:tcW w:w="996" w:type="dxa"/>
            <w:tcBorders>
              <w:top w:val="single" w:sz="4" w:space="0" w:color="auto"/>
            </w:tcBorders>
          </w:tcPr>
          <w:p w:rsidR="00DA4EB1" w:rsidRDefault="00DA4EB1" w:rsidP="00AD0AC0"/>
        </w:tc>
        <w:tc>
          <w:tcPr>
            <w:tcW w:w="1010" w:type="dxa"/>
            <w:tcBorders>
              <w:top w:val="single" w:sz="4" w:space="0" w:color="auto"/>
            </w:tcBorders>
          </w:tcPr>
          <w:p w:rsidR="00DA4EB1" w:rsidRDefault="00DA4EB1" w:rsidP="00AD0AC0"/>
        </w:tc>
        <w:tc>
          <w:tcPr>
            <w:tcW w:w="1057" w:type="dxa"/>
            <w:tcBorders>
              <w:top w:val="single" w:sz="4" w:space="0" w:color="auto"/>
            </w:tcBorders>
          </w:tcPr>
          <w:p w:rsidR="00DA4EB1" w:rsidRDefault="00DA4EB1" w:rsidP="00AD0AC0"/>
        </w:tc>
        <w:tc>
          <w:tcPr>
            <w:tcW w:w="1027" w:type="dxa"/>
            <w:tcBorders>
              <w:top w:val="single" w:sz="4" w:space="0" w:color="auto"/>
            </w:tcBorders>
          </w:tcPr>
          <w:p w:rsidR="00DA4EB1" w:rsidRDefault="00DA4EB1" w:rsidP="00AD0AC0"/>
        </w:tc>
        <w:tc>
          <w:tcPr>
            <w:tcW w:w="1150" w:type="dxa"/>
            <w:tcBorders>
              <w:top w:val="single" w:sz="4" w:space="0" w:color="auto"/>
            </w:tcBorders>
          </w:tcPr>
          <w:p w:rsidR="00DA4EB1" w:rsidRDefault="00DA4EB1" w:rsidP="00AD0AC0"/>
        </w:tc>
        <w:tc>
          <w:tcPr>
            <w:tcW w:w="1016" w:type="dxa"/>
            <w:tcBorders>
              <w:top w:val="single" w:sz="4" w:space="0" w:color="auto"/>
            </w:tcBorders>
          </w:tcPr>
          <w:p w:rsidR="00DA4EB1" w:rsidRDefault="00DA4EB1" w:rsidP="00AD0AC0"/>
        </w:tc>
      </w:tr>
    </w:tbl>
    <w:p w:rsidR="005A0869" w:rsidRPr="00093D3F" w:rsidRDefault="00BB4807" w:rsidP="00AD0AC0">
      <w:r w:rsidRPr="00093D3F">
        <w:lastRenderedPageBreak/>
        <w:t xml:space="preserve">The period </w:t>
      </w:r>
      <w:r w:rsidR="00093D3F" w:rsidRPr="00093D3F">
        <w:t xml:space="preserve">October </w:t>
      </w:r>
      <w:r w:rsidR="00C14C4E" w:rsidRPr="00093D3F">
        <w:t xml:space="preserve">to </w:t>
      </w:r>
      <w:r w:rsidR="00093D3F" w:rsidRPr="00093D3F">
        <w:t>December</w:t>
      </w:r>
      <w:r w:rsidR="00C14C4E" w:rsidRPr="00093D3F">
        <w:t xml:space="preserve"> is relatively quiet with </w:t>
      </w:r>
      <w:r w:rsidR="00093D3F" w:rsidRPr="00093D3F">
        <w:t>193</w:t>
      </w:r>
      <w:r w:rsidR="00C14C4E" w:rsidRPr="00093D3F">
        <w:t xml:space="preserve"> ballots cast compared with 1,908 </w:t>
      </w:r>
      <w:r w:rsidR="00093D3F" w:rsidRPr="00093D3F">
        <w:t xml:space="preserve">and 330 respectively </w:t>
      </w:r>
      <w:r w:rsidR="00C14C4E" w:rsidRPr="00093D3F">
        <w:t xml:space="preserve">in the </w:t>
      </w:r>
      <w:r w:rsidR="00093D3F" w:rsidRPr="00093D3F">
        <w:t xml:space="preserve">two </w:t>
      </w:r>
      <w:r w:rsidR="00C14C4E" w:rsidRPr="00093D3F">
        <w:t>prior quarter</w:t>
      </w:r>
      <w:r w:rsidR="00093D3F" w:rsidRPr="00093D3F">
        <w:t>s</w:t>
      </w:r>
      <w:r w:rsidR="00C14C4E" w:rsidRPr="00093D3F">
        <w:t>.  T</w:t>
      </w:r>
      <w:r w:rsidR="00972DC6" w:rsidRPr="00093D3F">
        <w:t xml:space="preserve">he Fund has voted for </w:t>
      </w:r>
      <w:r w:rsidR="00C14C4E" w:rsidRPr="00093D3F">
        <w:t>6</w:t>
      </w:r>
      <w:r w:rsidR="00093D3F" w:rsidRPr="00093D3F">
        <w:t>2</w:t>
      </w:r>
      <w:r w:rsidR="00972DC6" w:rsidRPr="00093D3F">
        <w:t xml:space="preserve">% of shareholder resolutions and has opposed </w:t>
      </w:r>
      <w:r w:rsidR="005A0869" w:rsidRPr="00093D3F">
        <w:t xml:space="preserve">or abstained </w:t>
      </w:r>
      <w:r w:rsidR="00972DC6" w:rsidRPr="00093D3F">
        <w:t xml:space="preserve">in </w:t>
      </w:r>
      <w:r w:rsidR="00C14C4E" w:rsidRPr="00093D3F">
        <w:t>3</w:t>
      </w:r>
      <w:r w:rsidR="00093D3F" w:rsidRPr="00093D3F">
        <w:t>8</w:t>
      </w:r>
      <w:r w:rsidR="00972DC6" w:rsidRPr="00093D3F">
        <w:t>% of resolutions.</w:t>
      </w:r>
      <w:r w:rsidR="009D7ACC" w:rsidRPr="00093D3F">
        <w:t xml:space="preserve">  V</w:t>
      </w:r>
      <w:r w:rsidR="005A0869" w:rsidRPr="00093D3F">
        <w:t>oting abstention is regularly used by institutional investors as a way of signalling a negative view on a proposal without active opposition</w:t>
      </w:r>
      <w:r w:rsidR="009D7ACC" w:rsidRPr="00093D3F">
        <w:t>.</w:t>
      </w:r>
    </w:p>
    <w:p w:rsidR="005A0869" w:rsidRPr="00BB7BA0" w:rsidRDefault="005A0869" w:rsidP="00AD0AC0"/>
    <w:p w:rsidR="00633F3C" w:rsidRPr="00BB7BA0" w:rsidRDefault="00633F3C" w:rsidP="00AD0AC0">
      <w:r w:rsidRPr="00BB7BA0">
        <w:t>Remuneration remains a significant theme, and t</w:t>
      </w:r>
      <w:r w:rsidR="006D04F0" w:rsidRPr="00BB7BA0">
        <w:t xml:space="preserve">he Fund opposed the approval of the Remuneration Report for a number of well known companies </w:t>
      </w:r>
      <w:r w:rsidRPr="00BB7BA0">
        <w:t>such as Hays, where remuneration was considered excessive and performance criteria insufficiently challenging. Within the US, pay structures proposed by Oracle and Microsoft were opposed</w:t>
      </w:r>
      <w:r w:rsidR="00BB7BA0" w:rsidRPr="00BB7BA0">
        <w:t>, and several appointment resolutions were opposed where directors were not deemed to be sufficiently independent.</w:t>
      </w:r>
    </w:p>
    <w:p w:rsidR="00255984" w:rsidRDefault="00255984" w:rsidP="00AD0AC0"/>
    <w:p w:rsidR="00C14C4E" w:rsidRPr="00255984" w:rsidRDefault="00255984" w:rsidP="00AD0AC0">
      <w:r w:rsidRPr="00255984">
        <w:t xml:space="preserve">As well as continuing to focus upon promoting </w:t>
      </w:r>
      <w:r w:rsidR="00C14C4E" w:rsidRPr="00255984">
        <w:t xml:space="preserve">the election of truly independent directors, </w:t>
      </w:r>
      <w:r w:rsidRPr="00255984">
        <w:t>PIRC has also opposed appointments where capacity issues may exist from potential over-commitment.</w:t>
      </w:r>
    </w:p>
    <w:p w:rsidR="00C14C4E" w:rsidRPr="00A4384E" w:rsidRDefault="00C14C4E" w:rsidP="00AD0AC0"/>
    <w:p w:rsidR="00C14C4E" w:rsidRPr="00A4384E" w:rsidRDefault="0029260A" w:rsidP="00AD0AC0">
      <w:r w:rsidRPr="00A4384E">
        <w:t xml:space="preserve">This quarter's PIRC report also makes reference to changes announced by the Financial Reporting Council (FRC) to its governance and stewardship codes. Governance changes relate to the tendering of external audit contracts, effectiveness assessments of external auditors, consistency of annual reports with financial statements, boardroom diversity policies, and explanations where companies choose not to follow Code provisions.  Stewardship changes include clarification of </w:t>
      </w:r>
      <w:r w:rsidR="00A4384E" w:rsidRPr="00A4384E">
        <w:t>stewardship responsibilities for asset managers and asset owners, management of investor's conflicts of interest, and the encouragement of verification of stewardship activities.</w:t>
      </w:r>
    </w:p>
    <w:p w:rsidR="0029260A" w:rsidRPr="00A84AFB" w:rsidRDefault="0029260A" w:rsidP="00AD0AC0"/>
    <w:p w:rsidR="003C5BEE" w:rsidRPr="00A84AFB" w:rsidRDefault="003C5BEE" w:rsidP="003C5BEE">
      <w:pPr>
        <w:rPr>
          <w:rFonts w:cs="Arial"/>
          <w:bCs/>
        </w:rPr>
      </w:pPr>
      <w:r w:rsidRPr="00A84AFB">
        <w:t xml:space="preserve">PIRC are also closely following events at Rio Tinto who made </w:t>
      </w:r>
      <w:r w:rsidR="00A84AFB" w:rsidRPr="00A84AFB">
        <w:t xml:space="preserve">a </w:t>
      </w:r>
      <w:r w:rsidRPr="00A84AFB">
        <w:t xml:space="preserve">significant announcement in January 2013 relating to an expected $14 billion asset write-down (impairment charge) relating separately to its aluminium and Mozambique coal interests. Two senior executives stepped down by mutual consent as a result. PIRC are </w:t>
      </w:r>
      <w:r w:rsidRPr="00A84AFB">
        <w:rPr>
          <w:rFonts w:cs="Arial"/>
          <w:bCs/>
        </w:rPr>
        <w:t>concerned about how far the alleged mistakes will impact the company’s development and coming to terms with the resulting financial challenges. PIRC are encouraged by the relatively prompt move by the Board to act, however the aluminium loss is so large it can only be regarded as absolute investment failure</w:t>
      </w:r>
      <w:r w:rsidR="00A84AFB" w:rsidRPr="00A84AFB">
        <w:rPr>
          <w:rFonts w:cs="Arial"/>
          <w:bCs/>
        </w:rPr>
        <w:t xml:space="preserve">. Currently, the Pension Fund has no equity holdings in Rio Tinto Group, but </w:t>
      </w:r>
      <w:r w:rsidR="00A84AFB">
        <w:rPr>
          <w:rFonts w:cs="Arial"/>
          <w:bCs/>
        </w:rPr>
        <w:t xml:space="preserve">has an interest through </w:t>
      </w:r>
      <w:r w:rsidR="00A84AFB" w:rsidRPr="00A84AFB">
        <w:rPr>
          <w:rFonts w:cs="Arial"/>
          <w:bCs/>
        </w:rPr>
        <w:t>fixed income bond</w:t>
      </w:r>
      <w:r w:rsidR="00A84AFB">
        <w:rPr>
          <w:rFonts w:cs="Arial"/>
          <w:bCs/>
        </w:rPr>
        <w:t xml:space="preserve"> holdings</w:t>
      </w:r>
      <w:r w:rsidR="00A84AFB" w:rsidRPr="00A84AFB">
        <w:rPr>
          <w:rFonts w:cs="Arial"/>
          <w:bCs/>
        </w:rPr>
        <w:t>.</w:t>
      </w:r>
    </w:p>
    <w:p w:rsidR="009F2C3B" w:rsidRDefault="009F2C3B">
      <w:pPr>
        <w:pStyle w:val="Heading1"/>
        <w:rPr>
          <w:b w:val="0"/>
          <w:bCs/>
        </w:rPr>
      </w:pPr>
    </w:p>
    <w:p w:rsidR="00EB067F" w:rsidRPr="00EB067F" w:rsidRDefault="00DB147E">
      <w:pPr>
        <w:pStyle w:val="Heading1"/>
      </w:pPr>
      <w:r>
        <w:t xml:space="preserve">Shareholder Engagement through </w:t>
      </w:r>
      <w:r w:rsidR="00EB067F" w:rsidRPr="00EB067F">
        <w:t>LAPFF</w:t>
      </w:r>
    </w:p>
    <w:p w:rsidR="00EB067F" w:rsidRDefault="00EB067F">
      <w:pPr>
        <w:pStyle w:val="Heading1"/>
        <w:rPr>
          <w:b w:val="0"/>
        </w:rPr>
      </w:pPr>
    </w:p>
    <w:p w:rsidR="001F61DF" w:rsidRDefault="001F61DF" w:rsidP="001F61DF">
      <w:r>
        <w:t xml:space="preserve">Lancashire County Pension Fund is also a member of the Local Authority Pension Fund Forum (LAPFF), which </w:t>
      </w:r>
      <w:r w:rsidRPr="00EB067F">
        <w:t>exists to promote the investment interests of local authority pension funds, and to maximise their influence as shareholders whilst promoting social responsibility and corporate governance at the companies in which they invest.</w:t>
      </w:r>
    </w:p>
    <w:p w:rsidR="001F61DF" w:rsidRDefault="001F61DF" w:rsidP="001F61DF"/>
    <w:p w:rsidR="001F61DF" w:rsidRDefault="001F61DF" w:rsidP="001F61DF">
      <w:r>
        <w:t xml:space="preserve">Members of the Committee may be interested to note the attached engagement report from </w:t>
      </w:r>
      <w:proofErr w:type="spellStart"/>
      <w:r>
        <w:t>LAPFF</w:t>
      </w:r>
      <w:proofErr w:type="spellEnd"/>
      <w:r>
        <w:t xml:space="preserve"> (Appendix </w:t>
      </w:r>
      <w:r w:rsidR="00736C5D">
        <w:t>'</w:t>
      </w:r>
      <w:r>
        <w:t>B</w:t>
      </w:r>
      <w:r w:rsidR="00736C5D">
        <w:t>'</w:t>
      </w:r>
      <w:r>
        <w:t xml:space="preserve">) which covers the period 1 October to 31 December 2012. </w:t>
      </w:r>
    </w:p>
    <w:p w:rsidR="001F61DF" w:rsidRDefault="001F61DF" w:rsidP="001F61DF"/>
    <w:p w:rsidR="001F61DF" w:rsidRDefault="001F61DF" w:rsidP="001F61DF">
      <w:r>
        <w:lastRenderedPageBreak/>
        <w:t xml:space="preserve">It sets out details of their activities in influencing governance, employment standards, reputational risk, climate change, finance and accounting, and Board composition, and provides a slightly </w:t>
      </w:r>
      <w:r w:rsidR="00DB147E">
        <w:t>different</w:t>
      </w:r>
      <w:r>
        <w:t xml:space="preserve"> and wider perspective than the PIRC report</w:t>
      </w:r>
      <w:r w:rsidR="00BD3AAB">
        <w:t>.</w:t>
      </w:r>
    </w:p>
    <w:p w:rsidR="00C57A84" w:rsidRDefault="00C57A84">
      <w:pPr>
        <w:pStyle w:val="Heading1"/>
      </w:pPr>
    </w:p>
    <w:p w:rsidR="003E6A45" w:rsidRDefault="003E6A45">
      <w:pPr>
        <w:pStyle w:val="Heading1"/>
      </w:pPr>
      <w:r>
        <w:t>Consultations</w:t>
      </w:r>
    </w:p>
    <w:p w:rsidR="003E6A45" w:rsidRDefault="003E6A45">
      <w:pPr>
        <w:pStyle w:val="Header"/>
      </w:pPr>
    </w:p>
    <w:p w:rsidR="003E6A45" w:rsidRDefault="007F36E3">
      <w:r>
        <w:t>N/A</w:t>
      </w:r>
    </w:p>
    <w:p w:rsidR="003E6A45" w:rsidRDefault="003E6A45"/>
    <w:p w:rsidR="00772BBA" w:rsidRDefault="003E6A45" w:rsidP="00772BBA">
      <w:r>
        <w:rPr>
          <w:b/>
        </w:rPr>
        <w:t>Implications</w:t>
      </w:r>
      <w:r>
        <w:t xml:space="preserve">: </w:t>
      </w:r>
    </w:p>
    <w:p w:rsidR="00772BBA" w:rsidRDefault="00772BBA" w:rsidP="00772BBA"/>
    <w:p w:rsidR="00772BBA" w:rsidRDefault="00E605AA" w:rsidP="00772BBA">
      <w:r>
        <w:t>It is a key component of good governance that t</w:t>
      </w:r>
      <w:r w:rsidR="00972DC6">
        <w:t xml:space="preserve">he Fund </w:t>
      </w:r>
      <w:r>
        <w:t>is</w:t>
      </w:r>
      <w:r w:rsidR="00972DC6">
        <w:t xml:space="preserve"> an engaged and responsible investor complying with the Stewardship Code.</w:t>
      </w:r>
    </w:p>
    <w:p w:rsidR="00972DC6" w:rsidRDefault="00972DC6" w:rsidP="00772BBA"/>
    <w:p w:rsidR="00972DC6" w:rsidRDefault="00972DC6" w:rsidP="00772BBA">
      <w:r>
        <w:t>Well run responsible companies are more likely to be successful and less likely to suffer from unexpected scandals.</w:t>
      </w:r>
    </w:p>
    <w:p w:rsidR="009B61F1" w:rsidRDefault="009B61F1" w:rsidP="00772BBA">
      <w:pPr>
        <w:rPr>
          <w:b/>
        </w:rPr>
      </w:pPr>
    </w:p>
    <w:p w:rsidR="00772BBA" w:rsidRPr="00092B2F" w:rsidRDefault="00772BBA" w:rsidP="00772BBA">
      <w:pPr>
        <w:rPr>
          <w:b/>
        </w:rPr>
      </w:pPr>
      <w:r w:rsidRPr="00092B2F">
        <w:rPr>
          <w:b/>
        </w:rPr>
        <w:t>Risk management</w:t>
      </w:r>
    </w:p>
    <w:p w:rsidR="00772BBA" w:rsidRDefault="00772BBA" w:rsidP="00772BBA"/>
    <w:p w:rsidR="00972DC6" w:rsidRDefault="00972DC6" w:rsidP="00772BBA">
      <w:r>
        <w:t>The promotion of good responsible corporate governance in the companies the Fund is invested in reduces the risk of unexpected losses arising as a result of poor over-sight and lack of independence.</w:t>
      </w:r>
    </w:p>
    <w:p w:rsidR="003E6A45" w:rsidRDefault="003E6A45">
      <w:pPr>
        <w:pStyle w:val="Heading5"/>
        <w:rPr>
          <w:rFonts w:ascii="Arial" w:hAnsi="Arial"/>
        </w:rP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C"/>
      </w:tblPr>
      <w:tblGrid>
        <w:gridCol w:w="3227"/>
        <w:gridCol w:w="2775"/>
        <w:gridCol w:w="3178"/>
      </w:tblGrid>
      <w:tr w:rsidR="003E6A45">
        <w:tc>
          <w:tcPr>
            <w:tcW w:w="3227" w:type="dxa"/>
          </w:tcPr>
          <w:p w:rsidR="003E6A45" w:rsidRDefault="00972DC6" w:rsidP="00736C5D">
            <w:pPr>
              <w:pStyle w:val="Heading7"/>
              <w:rPr>
                <w:rFonts w:ascii="Arial" w:hAnsi="Arial"/>
                <w:u w:val="none"/>
              </w:rPr>
            </w:pPr>
            <w:r>
              <w:rPr>
                <w:rFonts w:ascii="Arial" w:hAnsi="Arial"/>
                <w:u w:val="none"/>
              </w:rPr>
              <w:t>N/</w:t>
            </w:r>
            <w:r w:rsidR="00736C5D">
              <w:rPr>
                <w:rFonts w:ascii="Arial" w:hAnsi="Arial"/>
                <w:u w:val="none"/>
              </w:rPr>
              <w:t>A</w:t>
            </w:r>
          </w:p>
        </w:tc>
        <w:tc>
          <w:tcPr>
            <w:tcW w:w="2775" w:type="dxa"/>
          </w:tcPr>
          <w:p w:rsidR="003E6A45" w:rsidRDefault="003E6A45">
            <w:pPr>
              <w:pStyle w:val="Heading7"/>
              <w:rPr>
                <w:rFonts w:ascii="Arial" w:hAnsi="Arial"/>
                <w:u w:val="none"/>
              </w:rPr>
            </w:pPr>
          </w:p>
        </w:tc>
        <w:tc>
          <w:tcPr>
            <w:tcW w:w="3178" w:type="dxa"/>
          </w:tcPr>
          <w:p w:rsidR="003E6A45" w:rsidRDefault="003E6A45">
            <w:pPr>
              <w:pStyle w:val="Heading7"/>
              <w:rPr>
                <w:rFonts w:ascii="Arial" w:hAnsi="Arial"/>
                <w:u w:val="none"/>
              </w:rPr>
            </w:pPr>
          </w:p>
        </w:tc>
      </w:tr>
      <w:tr w:rsidR="003E6A45">
        <w:tc>
          <w:tcPr>
            <w:tcW w:w="3227" w:type="dxa"/>
          </w:tcPr>
          <w:p w:rsidR="007F36E3" w:rsidRPr="007F36E3" w:rsidRDefault="007F36E3"/>
        </w:tc>
        <w:tc>
          <w:tcPr>
            <w:tcW w:w="2775" w:type="dxa"/>
          </w:tcPr>
          <w:p w:rsidR="003E6A45" w:rsidRPr="007F36E3" w:rsidRDefault="003E6A45"/>
        </w:tc>
        <w:tc>
          <w:tcPr>
            <w:tcW w:w="3178" w:type="dxa"/>
          </w:tcPr>
          <w:p w:rsidR="003E6A45" w:rsidRDefault="003E6A45"/>
        </w:tc>
      </w:tr>
      <w:tr w:rsidR="003E6292">
        <w:tc>
          <w:tcPr>
            <w:tcW w:w="3227" w:type="dxa"/>
          </w:tcPr>
          <w:p w:rsidR="003E6292" w:rsidRPr="007F36E3" w:rsidRDefault="003E6292">
            <w:pPr>
              <w:pStyle w:val="Heading7"/>
              <w:rPr>
                <w:rFonts w:ascii="Arial" w:hAnsi="Arial"/>
                <w:u w:val="none"/>
              </w:rPr>
            </w:pPr>
          </w:p>
        </w:tc>
        <w:tc>
          <w:tcPr>
            <w:tcW w:w="2775" w:type="dxa"/>
          </w:tcPr>
          <w:p w:rsidR="003E6292" w:rsidRPr="007F36E3" w:rsidRDefault="003E6292">
            <w:pPr>
              <w:pStyle w:val="Heading7"/>
              <w:rPr>
                <w:rFonts w:ascii="Arial" w:hAnsi="Arial"/>
                <w:u w:val="none"/>
              </w:rPr>
            </w:pPr>
          </w:p>
        </w:tc>
        <w:tc>
          <w:tcPr>
            <w:tcW w:w="3178" w:type="dxa"/>
          </w:tcPr>
          <w:p w:rsidR="003E6292" w:rsidRDefault="003E6292"/>
        </w:tc>
      </w:tr>
      <w:tr w:rsidR="003E6A45">
        <w:tc>
          <w:tcPr>
            <w:tcW w:w="9180" w:type="dxa"/>
            <w:gridSpan w:val="3"/>
          </w:tcPr>
          <w:p w:rsidR="003E6A45" w:rsidRDefault="003E6A45" w:rsidP="003E6292"/>
        </w:tc>
      </w:tr>
    </w:tbl>
    <w:p w:rsidR="003E6A45" w:rsidRDefault="003E6A45"/>
    <w:sectPr w:rsidR="003E6A45" w:rsidSect="00EB067F">
      <w:footerReference w:type="default" r:id="rId9"/>
      <w:footerReference w:type="first" r:id="rId10"/>
      <w:type w:val="continuous"/>
      <w:pgSz w:w="11907" w:h="16840" w:code="9"/>
      <w:pgMar w:top="1134" w:right="1440" w:bottom="1276"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3C" w:rsidRDefault="0071683C">
      <w:r>
        <w:separator/>
      </w:r>
    </w:p>
  </w:endnote>
  <w:endnote w:type="continuationSeparator" w:id="0">
    <w:p w:rsidR="0071683C" w:rsidRDefault="00716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EB067F">
      <w:tc>
        <w:tcPr>
          <w:tcW w:w="9243" w:type="dxa"/>
          <w:tcBorders>
            <w:top w:val="nil"/>
            <w:left w:val="nil"/>
            <w:bottom w:val="nil"/>
            <w:right w:val="nil"/>
          </w:tcBorders>
        </w:tcPr>
        <w:p w:rsidR="00EB067F" w:rsidRDefault="00EB067F">
          <w:pPr>
            <w:pStyle w:val="Footer"/>
            <w:tabs>
              <w:tab w:val="clear" w:pos="4153"/>
            </w:tabs>
            <w:ind w:right="-45"/>
            <w:jc w:val="right"/>
          </w:pPr>
        </w:p>
      </w:tc>
    </w:tr>
  </w:tbl>
  <w:p w:rsidR="00EB067F" w:rsidRDefault="00EB067F">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EB067F">
      <w:tc>
        <w:tcPr>
          <w:tcW w:w="9243" w:type="dxa"/>
          <w:tcBorders>
            <w:top w:val="nil"/>
            <w:left w:val="nil"/>
            <w:bottom w:val="nil"/>
            <w:right w:val="nil"/>
          </w:tcBorders>
        </w:tcPr>
        <w:p w:rsidR="00EB067F" w:rsidRDefault="00BD3AAB">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EB067F" w:rsidRDefault="00EB067F">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3C" w:rsidRDefault="0071683C">
      <w:r>
        <w:separator/>
      </w:r>
    </w:p>
  </w:footnote>
  <w:footnote w:type="continuationSeparator" w:id="0">
    <w:p w:rsidR="0071683C" w:rsidRDefault="00716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9B0"/>
    <w:multiLevelType w:val="hybridMultilevel"/>
    <w:tmpl w:val="DB6E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205D"/>
    <w:multiLevelType w:val="hybridMultilevel"/>
    <w:tmpl w:val="81484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46311"/>
    <w:multiLevelType w:val="hybridMultilevel"/>
    <w:tmpl w:val="C1C8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06A04"/>
    <w:multiLevelType w:val="hybridMultilevel"/>
    <w:tmpl w:val="B58A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732361"/>
    <w:multiLevelType w:val="hybridMultilevel"/>
    <w:tmpl w:val="E776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21570C"/>
    <w:multiLevelType w:val="hybridMultilevel"/>
    <w:tmpl w:val="54687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3E6A45"/>
    <w:rsid w:val="00000740"/>
    <w:rsid w:val="00093D3F"/>
    <w:rsid w:val="000A44A3"/>
    <w:rsid w:val="000F4356"/>
    <w:rsid w:val="001228D1"/>
    <w:rsid w:val="0016285E"/>
    <w:rsid w:val="00171D3A"/>
    <w:rsid w:val="001839F3"/>
    <w:rsid w:val="001D04CF"/>
    <w:rsid w:val="001E5696"/>
    <w:rsid w:val="001F61DF"/>
    <w:rsid w:val="00210EC4"/>
    <w:rsid w:val="002209BB"/>
    <w:rsid w:val="00233F14"/>
    <w:rsid w:val="00255984"/>
    <w:rsid w:val="00261808"/>
    <w:rsid w:val="0028461B"/>
    <w:rsid w:val="0029260A"/>
    <w:rsid w:val="002A777E"/>
    <w:rsid w:val="002B11AF"/>
    <w:rsid w:val="002C47F7"/>
    <w:rsid w:val="002E2938"/>
    <w:rsid w:val="002E7E86"/>
    <w:rsid w:val="002F787A"/>
    <w:rsid w:val="003006AB"/>
    <w:rsid w:val="003103B6"/>
    <w:rsid w:val="00321C1B"/>
    <w:rsid w:val="00335582"/>
    <w:rsid w:val="00354CAC"/>
    <w:rsid w:val="00357954"/>
    <w:rsid w:val="003610B6"/>
    <w:rsid w:val="003A2BBD"/>
    <w:rsid w:val="003A78C7"/>
    <w:rsid w:val="003C5BEE"/>
    <w:rsid w:val="003C658E"/>
    <w:rsid w:val="003E6292"/>
    <w:rsid w:val="003E6A45"/>
    <w:rsid w:val="004003F7"/>
    <w:rsid w:val="0044710C"/>
    <w:rsid w:val="004718BF"/>
    <w:rsid w:val="00481752"/>
    <w:rsid w:val="00496B40"/>
    <w:rsid w:val="004A77F6"/>
    <w:rsid w:val="004C3B78"/>
    <w:rsid w:val="004F2CD8"/>
    <w:rsid w:val="00563886"/>
    <w:rsid w:val="00580415"/>
    <w:rsid w:val="00581BB4"/>
    <w:rsid w:val="005A0869"/>
    <w:rsid w:val="005E1B1E"/>
    <w:rsid w:val="00602819"/>
    <w:rsid w:val="0060426D"/>
    <w:rsid w:val="00605DB2"/>
    <w:rsid w:val="00621B00"/>
    <w:rsid w:val="0062743C"/>
    <w:rsid w:val="00631898"/>
    <w:rsid w:val="00633F3C"/>
    <w:rsid w:val="00646CF2"/>
    <w:rsid w:val="00682A7B"/>
    <w:rsid w:val="006905DC"/>
    <w:rsid w:val="0069428A"/>
    <w:rsid w:val="006A4642"/>
    <w:rsid w:val="006B48B7"/>
    <w:rsid w:val="006B5ECA"/>
    <w:rsid w:val="006B7D9C"/>
    <w:rsid w:val="006D04F0"/>
    <w:rsid w:val="006D64D0"/>
    <w:rsid w:val="006E5686"/>
    <w:rsid w:val="006F0E79"/>
    <w:rsid w:val="006F338B"/>
    <w:rsid w:val="006F651F"/>
    <w:rsid w:val="00704C83"/>
    <w:rsid w:val="0071683C"/>
    <w:rsid w:val="00727418"/>
    <w:rsid w:val="00730C81"/>
    <w:rsid w:val="007346E8"/>
    <w:rsid w:val="00736C5D"/>
    <w:rsid w:val="00752A58"/>
    <w:rsid w:val="00757337"/>
    <w:rsid w:val="00772BBA"/>
    <w:rsid w:val="0077613C"/>
    <w:rsid w:val="007C7EE2"/>
    <w:rsid w:val="007E7A9F"/>
    <w:rsid w:val="007F36E3"/>
    <w:rsid w:val="007F5938"/>
    <w:rsid w:val="008209DA"/>
    <w:rsid w:val="00885460"/>
    <w:rsid w:val="00886AD0"/>
    <w:rsid w:val="0088754E"/>
    <w:rsid w:val="008A5E88"/>
    <w:rsid w:val="008B2390"/>
    <w:rsid w:val="008B53F0"/>
    <w:rsid w:val="008B5CA9"/>
    <w:rsid w:val="008E4C5A"/>
    <w:rsid w:val="008E5CB9"/>
    <w:rsid w:val="008F28A6"/>
    <w:rsid w:val="00917B49"/>
    <w:rsid w:val="0092206B"/>
    <w:rsid w:val="00945925"/>
    <w:rsid w:val="0095583F"/>
    <w:rsid w:val="00970D34"/>
    <w:rsid w:val="00972DC6"/>
    <w:rsid w:val="0098084A"/>
    <w:rsid w:val="009A4C24"/>
    <w:rsid w:val="009B3418"/>
    <w:rsid w:val="009B61F1"/>
    <w:rsid w:val="009D7ACC"/>
    <w:rsid w:val="009F2C3B"/>
    <w:rsid w:val="009F5F02"/>
    <w:rsid w:val="00A35073"/>
    <w:rsid w:val="00A4384E"/>
    <w:rsid w:val="00A5647C"/>
    <w:rsid w:val="00A84AFB"/>
    <w:rsid w:val="00A8695C"/>
    <w:rsid w:val="00AC7FAD"/>
    <w:rsid w:val="00AD0AC0"/>
    <w:rsid w:val="00B33BD7"/>
    <w:rsid w:val="00B536FC"/>
    <w:rsid w:val="00B67789"/>
    <w:rsid w:val="00B754ED"/>
    <w:rsid w:val="00B80294"/>
    <w:rsid w:val="00BB08CC"/>
    <w:rsid w:val="00BB4807"/>
    <w:rsid w:val="00BB7BA0"/>
    <w:rsid w:val="00BD0AC4"/>
    <w:rsid w:val="00BD3AAB"/>
    <w:rsid w:val="00BE189C"/>
    <w:rsid w:val="00BE6E32"/>
    <w:rsid w:val="00BF2CF3"/>
    <w:rsid w:val="00C04443"/>
    <w:rsid w:val="00C11128"/>
    <w:rsid w:val="00C14B79"/>
    <w:rsid w:val="00C14C22"/>
    <w:rsid w:val="00C14C4E"/>
    <w:rsid w:val="00C20DC0"/>
    <w:rsid w:val="00C31B96"/>
    <w:rsid w:val="00C31F4B"/>
    <w:rsid w:val="00C34000"/>
    <w:rsid w:val="00C413B0"/>
    <w:rsid w:val="00C418E0"/>
    <w:rsid w:val="00C57A84"/>
    <w:rsid w:val="00C74ABC"/>
    <w:rsid w:val="00C85D7C"/>
    <w:rsid w:val="00C9157B"/>
    <w:rsid w:val="00CC3BD2"/>
    <w:rsid w:val="00CD122E"/>
    <w:rsid w:val="00CD5239"/>
    <w:rsid w:val="00D23EEE"/>
    <w:rsid w:val="00D37BDD"/>
    <w:rsid w:val="00D40C4D"/>
    <w:rsid w:val="00D8045F"/>
    <w:rsid w:val="00DA4EB1"/>
    <w:rsid w:val="00DB147E"/>
    <w:rsid w:val="00DB2EDD"/>
    <w:rsid w:val="00DB45D8"/>
    <w:rsid w:val="00DC5ED8"/>
    <w:rsid w:val="00DE2FD1"/>
    <w:rsid w:val="00DE3C21"/>
    <w:rsid w:val="00E119CA"/>
    <w:rsid w:val="00E2768C"/>
    <w:rsid w:val="00E449BA"/>
    <w:rsid w:val="00E605AA"/>
    <w:rsid w:val="00EA0A2B"/>
    <w:rsid w:val="00EA45E5"/>
    <w:rsid w:val="00EB067F"/>
    <w:rsid w:val="00EF02E8"/>
    <w:rsid w:val="00EF3195"/>
    <w:rsid w:val="00EF49F8"/>
    <w:rsid w:val="00F0006F"/>
    <w:rsid w:val="00F134C5"/>
    <w:rsid w:val="00F17F22"/>
    <w:rsid w:val="00F24FB0"/>
    <w:rsid w:val="00F319A1"/>
    <w:rsid w:val="00F61087"/>
    <w:rsid w:val="00F73415"/>
    <w:rsid w:val="00F917B3"/>
    <w:rsid w:val="00FA34CE"/>
    <w:rsid w:val="00FA42DC"/>
    <w:rsid w:val="00FB07E9"/>
    <w:rsid w:val="00FB4E86"/>
    <w:rsid w:val="00FB5FFD"/>
    <w:rsid w:val="00FC0477"/>
    <w:rsid w:val="00FD021D"/>
    <w:rsid w:val="00FD56DE"/>
    <w:rsid w:val="00FE20D8"/>
    <w:rsid w:val="00FE2D49"/>
    <w:rsid w:val="00FF1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2"/>
    <w:rPr>
      <w:rFonts w:ascii="Arial" w:hAnsi="Arial"/>
      <w:sz w:val="24"/>
    </w:rPr>
  </w:style>
  <w:style w:type="paragraph" w:styleId="Heading1">
    <w:name w:val="heading 1"/>
    <w:basedOn w:val="Normal"/>
    <w:next w:val="Normal"/>
    <w:qFormat/>
    <w:rsid w:val="00F17F22"/>
    <w:pPr>
      <w:keepNext/>
      <w:outlineLvl w:val="0"/>
    </w:pPr>
    <w:rPr>
      <w:b/>
    </w:rPr>
  </w:style>
  <w:style w:type="paragraph" w:styleId="Heading5">
    <w:name w:val="heading 5"/>
    <w:basedOn w:val="Normal"/>
    <w:next w:val="Normal"/>
    <w:qFormat/>
    <w:rsid w:val="00F17F22"/>
    <w:pPr>
      <w:keepNext/>
      <w:outlineLvl w:val="4"/>
    </w:pPr>
    <w:rPr>
      <w:rFonts w:ascii="Univers" w:hAnsi="Univers"/>
      <w:b/>
      <w:u w:val="single"/>
    </w:rPr>
  </w:style>
  <w:style w:type="paragraph" w:styleId="Heading6">
    <w:name w:val="heading 6"/>
    <w:basedOn w:val="Normal"/>
    <w:next w:val="Normal"/>
    <w:qFormat/>
    <w:rsid w:val="00F17F22"/>
    <w:pPr>
      <w:keepNext/>
      <w:outlineLvl w:val="5"/>
    </w:pPr>
    <w:rPr>
      <w:rFonts w:ascii="Univers" w:hAnsi="Univers"/>
      <w:b/>
    </w:rPr>
  </w:style>
  <w:style w:type="paragraph" w:styleId="Heading7">
    <w:name w:val="heading 7"/>
    <w:basedOn w:val="Normal"/>
    <w:next w:val="Normal"/>
    <w:qFormat/>
    <w:rsid w:val="00F17F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F22"/>
  </w:style>
  <w:style w:type="paragraph" w:customStyle="1" w:styleId="arial11">
    <w:name w:val="arial11"/>
    <w:basedOn w:val="Normal"/>
    <w:rsid w:val="00F17F22"/>
  </w:style>
  <w:style w:type="paragraph" w:styleId="BodyText">
    <w:name w:val="Body Text"/>
    <w:basedOn w:val="Normal"/>
    <w:rsid w:val="00F17F22"/>
  </w:style>
  <w:style w:type="paragraph" w:styleId="Footer">
    <w:name w:val="footer"/>
    <w:basedOn w:val="Normal"/>
    <w:rsid w:val="00F17F22"/>
    <w:pPr>
      <w:tabs>
        <w:tab w:val="center" w:pos="4153"/>
        <w:tab w:val="right" w:pos="8306"/>
      </w:tabs>
    </w:pPr>
  </w:style>
  <w:style w:type="character" w:styleId="PageNumber">
    <w:name w:val="page number"/>
    <w:basedOn w:val="DefaultParagraphFont"/>
    <w:rsid w:val="00F17F22"/>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Strong">
    <w:name w:val="Strong"/>
    <w:uiPriority w:val="22"/>
    <w:qFormat/>
    <w:rsid w:val="00FB5FFD"/>
    <w:rPr>
      <w:b/>
      <w:bCs/>
    </w:rPr>
  </w:style>
  <w:style w:type="table" w:styleId="TableGrid">
    <w:name w:val="Table Grid"/>
    <w:basedOn w:val="TableNormal"/>
    <w:uiPriority w:val="59"/>
    <w:rsid w:val="00AD0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067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36C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3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l.kilpatrick@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2AF0-1C4F-4985-8119-4BA81AE5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3</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User</cp:lastModifiedBy>
  <cp:revision>2</cp:revision>
  <cp:lastPrinted>2012-07-13T16:20:00Z</cp:lastPrinted>
  <dcterms:created xsi:type="dcterms:W3CDTF">2013-03-08T14:46:00Z</dcterms:created>
  <dcterms:modified xsi:type="dcterms:W3CDTF">2013-03-08T14:46:00Z</dcterms:modified>
</cp:coreProperties>
</file>